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_GBK" w:hAnsi="方正小标宋_GBK" w:eastAsia="方正小标宋_GBK" w:cs="方正小标宋_GBK"/>
          <w:bCs/>
          <w:kern w:val="0"/>
          <w:sz w:val="44"/>
          <w:szCs w:val="44"/>
        </w:rPr>
      </w:pPr>
    </w:p>
    <w:p>
      <w:pPr>
        <w:spacing w:line="54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重庆市南川区人民政府</w:t>
      </w:r>
    </w:p>
    <w:p>
      <w:pPr>
        <w:spacing w:line="54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关于落实生态保护红线、环境质量底线、</w:t>
      </w:r>
    </w:p>
    <w:p>
      <w:pPr>
        <w:spacing w:line="54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资源利用上线制定生态环境准入清单</w:t>
      </w:r>
    </w:p>
    <w:p>
      <w:pPr>
        <w:spacing w:line="540" w:lineRule="exact"/>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实施生态环境分区管控的实施意见</w:t>
      </w:r>
    </w:p>
    <w:p>
      <w:pPr>
        <w:keepNext w:val="0"/>
        <w:keepLines w:val="0"/>
        <w:pageBreakBefore w:val="0"/>
        <w:widowControl w:val="0"/>
        <w:kinsoku/>
        <w:wordWrap/>
        <w:overflowPunct/>
        <w:topLinePunct w:val="0"/>
        <w:autoSpaceDE/>
        <w:autoSpaceDN/>
        <w:bidi w:val="0"/>
        <w:spacing w:line="600" w:lineRule="exact"/>
        <w:jc w:val="center"/>
        <w:rPr>
          <w:rFonts w:hint="default" w:ascii="Times New Roman" w:hAnsi="Times New Roman" w:cs="Times New Roman"/>
        </w:rPr>
      </w:pPr>
      <w:r>
        <w:rPr>
          <w:rFonts w:hint="eastAsia" w:ascii="方正仿宋_GBK" w:hAnsi="方正仿宋_GBK" w:eastAsia="方正仿宋_GBK" w:cs="方正仿宋_GBK"/>
          <w:bCs/>
          <w:sz w:val="32"/>
          <w:szCs w:val="32"/>
        </w:rPr>
        <w:t>南川府</w:t>
      </w:r>
      <w:r>
        <w:rPr>
          <w:rFonts w:hint="eastAsia" w:ascii="方正仿宋_GBK" w:hAnsi="方正仿宋_GBK" w:eastAsia="方正仿宋_GBK" w:cs="方正仿宋_GBK"/>
          <w:bCs/>
          <w:sz w:val="32"/>
          <w:szCs w:val="32"/>
          <w:lang w:val="en-US" w:eastAsia="zh-CN"/>
        </w:rPr>
        <w:t>发</w:t>
      </w:r>
      <w:r>
        <w:rPr>
          <w:rFonts w:hint="default" w:ascii="Times New Roman" w:hAnsi="Times New Roman" w:eastAsia="方正仿宋_GBK" w:cs="Times New Roman"/>
          <w:bCs/>
          <w:sz w:val="32"/>
          <w:szCs w:val="32"/>
        </w:rPr>
        <w:t>〔20</w:t>
      </w:r>
      <w:r>
        <w:rPr>
          <w:rFonts w:hint="default" w:ascii="Times New Roman" w:hAnsi="Times New Roman" w:cs="Times New Roman"/>
          <w:bCs/>
          <w:sz w:val="32"/>
          <w:szCs w:val="32"/>
          <w:lang w:val="en-US" w:eastAsia="zh-CN"/>
        </w:rPr>
        <w:t>20</w:t>
      </w: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16</w:t>
      </w:r>
      <w:r>
        <w:rPr>
          <w:rFonts w:hint="default" w:ascii="Times New Roman" w:hAnsi="Times New Roman" w:eastAsia="方正仿宋_GBK" w:cs="Times New Roman"/>
          <w:bCs/>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jc w:val="left"/>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各乡镇人民政府、街道办事处，区政府有关部门、有关单位：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为深入贯彻落实《重庆市人民政府关于落实生态保护红线、环境质量底线、资源利用上线制定生态环境准入清单实施生态环境分区管控的实施意见》（渝府发〔2020〕11号）精神，坚定贯彻“共抓大保护、不搞大开发”方针，推动长江经济带高质量发展，现就落实生态保护红线、环境质量底线、资源利用上线，制定生态环境准入清单（以下统称三线一单），实施生态环境分区管控，提出如下实施意见。</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方正楷体_GBK" w:hAnsi="方正楷体_GBK" w:eastAsia="方正黑体_GBK" w:cs="方正楷体_GBK"/>
          <w:sz w:val="32"/>
          <w:szCs w:val="32"/>
        </w:rPr>
      </w:pPr>
      <w:r>
        <w:rPr>
          <w:rFonts w:hint="eastAsia" w:ascii="方正楷体_GBK" w:hAnsi="方正楷体_GBK" w:eastAsia="方正黑体_GBK" w:cs="方正楷体_GBK"/>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以习近平新时代中国特色社会主义思想为指导，全面贯彻党的十九大</w:t>
      </w:r>
      <w:r>
        <w:rPr>
          <w:rFonts w:hint="eastAsia" w:eastAsia="方正仿宋_GBK"/>
          <w:sz w:val="32"/>
          <w:szCs w:val="32"/>
          <w:lang w:eastAsia="zh-CN"/>
        </w:rPr>
        <w:t>，</w:t>
      </w:r>
      <w:r>
        <w:rPr>
          <w:rFonts w:hint="eastAsia" w:ascii="Times New Roman" w:hAnsi="Times New Roman" w:eastAsia="方正仿宋_GBK"/>
          <w:sz w:val="32"/>
          <w:szCs w:val="32"/>
        </w:rPr>
        <w:t>十九届二中</w:t>
      </w:r>
      <w:r>
        <w:rPr>
          <w:rFonts w:hint="eastAsia" w:eastAsia="方正仿宋_GBK"/>
          <w:sz w:val="32"/>
          <w:szCs w:val="32"/>
          <w:lang w:eastAsia="zh-CN"/>
        </w:rPr>
        <w:t>、</w:t>
      </w:r>
      <w:r>
        <w:rPr>
          <w:rFonts w:hint="eastAsia" w:ascii="Times New Roman" w:hAnsi="Times New Roman" w:eastAsia="方正仿宋_GBK"/>
          <w:sz w:val="32"/>
          <w:szCs w:val="32"/>
        </w:rPr>
        <w:t>三中</w:t>
      </w:r>
      <w:r>
        <w:rPr>
          <w:rFonts w:hint="eastAsia" w:eastAsia="方正仿宋_GBK"/>
          <w:sz w:val="32"/>
          <w:szCs w:val="32"/>
          <w:lang w:eastAsia="zh-CN"/>
        </w:rPr>
        <w:t>、</w:t>
      </w:r>
      <w:r>
        <w:rPr>
          <w:rFonts w:hint="eastAsia" w:ascii="Times New Roman" w:hAnsi="Times New Roman" w:eastAsia="方正仿宋_GBK"/>
          <w:sz w:val="32"/>
          <w:szCs w:val="32"/>
        </w:rPr>
        <w:t>四中全会精神和中央经济工作会议精神，深化落实习近平总书记对重庆提出的“两点”定位、“两地”“两高”目标、发挥“三个作用”和营造良好政治生态的重要指示要求，深学笃用习近平生态文明思想，坚决守住发展和生态两条底线，坚定不移走“生态优先、绿色发展”之路，建立以三线一单为核心的生态环境分区管控体系，筑牢长江上游重要生态屏障。</w:t>
      </w:r>
    </w:p>
    <w:p>
      <w:pPr>
        <w:keepNext w:val="0"/>
        <w:keepLines w:val="0"/>
        <w:pageBreakBefore w:val="0"/>
        <w:widowControl w:val="0"/>
        <w:tabs>
          <w:tab w:val="left" w:pos="3996"/>
        </w:tabs>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黑体_GBK" w:cs="方正楷体_GBK"/>
          <w:sz w:val="32"/>
          <w:szCs w:val="32"/>
        </w:rPr>
        <w:t>二、基本原则</w:t>
      </w:r>
      <w:r>
        <w:rPr>
          <w:rFonts w:hint="eastAsia" w:ascii="方正楷体_GBK" w:hAnsi="方正楷体_GBK" w:eastAsia="方正楷体_GBK" w:cs="方正楷体_GBK"/>
          <w:sz w:val="32"/>
          <w:szCs w:val="32"/>
        </w:rPr>
        <w:tab/>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坚持保护优先。落实生态保护红线、环境质量底线、资源利用上线硬约束，推动形成绿色发展方式和生活方式。</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坚持分类施策。针对流域、区域、行业特点，聚焦问题和目标，实施生态环境分区管控。</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坚持稳中求进。坚持生态环境管控内容不突破、管理要求不降低，结合经济社会发展新形势和环境质量改善新要求，定期评估调整和动态更新。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方正楷体_GBK" w:hAnsi="方正楷体_GBK" w:eastAsia="方正黑体_GBK" w:cs="方正楷体_GBK"/>
          <w:sz w:val="32"/>
          <w:szCs w:val="32"/>
        </w:rPr>
      </w:pPr>
      <w:r>
        <w:rPr>
          <w:rFonts w:hint="eastAsia" w:ascii="方正楷体_GBK" w:hAnsi="方正楷体_GBK" w:eastAsia="方正黑体_GBK" w:cs="方正楷体_GBK"/>
          <w:sz w:val="32"/>
          <w:szCs w:val="32"/>
        </w:rPr>
        <w:t>三、总体目标</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到2020年，主要污染物排放总量大幅减少，生态环境质量总体改善。资源节约型和环境友好型社会建设取得重大进展，推动绿色发展、高质量发展，全区生态文明建设水平与全面建成小康社会相适应，生态系统得到全面保护，绿色发展水平显著提升，共建共享的生态新格局基本形成。</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到2025年，绿色发展取得明显成效，突出环境问题得到有效治理，生态系统稳定性明显增强，生态环境质量进一步改善，环境风险得到有效控制，环境治理体系和治理能力现代化取得重大进展，环境保护水平与全面小康社会相适应，使南川成为山清水秀的美丽之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到2035年，全区生态环境质量得到根本改善。</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方正楷体_GBK" w:hAnsi="方正楷体_GBK" w:eastAsia="方正黑体_GBK" w:cs="方正楷体_GBK"/>
          <w:sz w:val="32"/>
          <w:szCs w:val="32"/>
        </w:rPr>
      </w:pPr>
      <w:r>
        <w:rPr>
          <w:rFonts w:hint="eastAsia" w:ascii="方正楷体_GBK" w:hAnsi="方正楷体_GBK" w:eastAsia="方正黑体_GBK" w:cs="方正楷体_GBK"/>
          <w:sz w:val="32"/>
          <w:szCs w:val="32"/>
        </w:rPr>
        <w:t>四、环境管控单元划分</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环境管控单元包括优先保护单元、重点管控单元、一般管控单元三类。优先保护单元指以生态环境保护为主的区域，主要包括饮用水水源保护区、环境空气一类功能区等。重点管控单元指涉及水、大气、土壤、自然资源等资源环境要素重点管控的区域，主要包括人口密集的城镇规划区和产业集聚的工业园区（工业集聚区）。一般管控单元指除优先保护单元和重点管控单元之外的其他区域。</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全区国土空间按优先保护、重点管控、一般管控三大类划分为26个环境管控单元。其中，优先保护单元16个，面积占比27.7%；重点管控单元6个，面积占比48.6%；一般管控单元4个，面积占比23.7%。</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方正楷体_GBK" w:hAnsi="方正楷体_GBK" w:eastAsia="方正黑体_GBK" w:cs="方正楷体_GBK"/>
          <w:sz w:val="32"/>
          <w:szCs w:val="32"/>
        </w:rPr>
      </w:pPr>
      <w:r>
        <w:rPr>
          <w:rFonts w:hint="eastAsia" w:ascii="方正楷体_GBK" w:hAnsi="方正楷体_GBK" w:eastAsia="方正黑体_GBK" w:cs="方正楷体_GBK"/>
          <w:sz w:val="32"/>
          <w:szCs w:val="32"/>
        </w:rPr>
        <w:t>五、分区环境管控要求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实施差异化管理，重点推进产业升级，优化工业区、商业区、居住区布局，优化水资源配置和排污口、取水口及饮用水水源地布局，强化污染物排放控制和环境风险防控。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方正楷体_GBK" w:hAnsi="方正楷体_GBK" w:eastAsia="方正黑体_GBK" w:cs="方正楷体_GBK"/>
          <w:sz w:val="32"/>
          <w:szCs w:val="32"/>
        </w:rPr>
      </w:pPr>
      <w:r>
        <w:rPr>
          <w:rFonts w:hint="eastAsia" w:ascii="方正楷体_GBK" w:hAnsi="方正楷体_GBK" w:eastAsia="方正黑体_GBK" w:cs="方正楷体_GBK"/>
          <w:sz w:val="32"/>
          <w:szCs w:val="32"/>
        </w:rPr>
        <w:t>六、实施与应用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执行市级总体管控要求，并细化落实全区及具体单元管控要求，相应管控要求数据上传至三线一单数据应用平台。</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国土空间规划、相关规划应将落实到具体空间的生态、水、大气、土壤、资源利用等红线、底线和上线要求作为编制的基础。</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区域、流域等产业发展应将三线一单提出的要求作为产业准入负面清单编制基础，具体管控单元的管控要求作为产业准入负面清单在具体区域、园区和单元落地的支撑。监管开发建设行为和生产活动时，应将三线一单作为重要依据。优先保护单元和重点管控单元应作为生态环境监管重点区域，生态环境分区管控要求应作为生态环境监管的重点内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方正楷体_GBK" w:hAnsi="方正楷体_GBK" w:eastAsia="方正黑体_GBK" w:cs="方正楷体_GBK"/>
          <w:sz w:val="32"/>
          <w:szCs w:val="32"/>
        </w:rPr>
      </w:pPr>
      <w:r>
        <w:rPr>
          <w:rFonts w:hint="eastAsia" w:ascii="方正楷体_GBK" w:hAnsi="方正楷体_GBK" w:eastAsia="方正黑体_GBK" w:cs="方正楷体_GBK"/>
          <w:sz w:val="32"/>
          <w:szCs w:val="32"/>
        </w:rPr>
        <w:t>七、更新与调整</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5年内因国家和地方发展战略、生态保护红线、自然保护地</w:t>
      </w:r>
      <w:r>
        <w:rPr>
          <w:rFonts w:hint="eastAsia" w:ascii="Times New Roman" w:hAnsi="Times New Roman" w:eastAsia="方正仿宋_GBK"/>
          <w:spacing w:val="-7"/>
          <w:sz w:val="32"/>
          <w:szCs w:val="32"/>
        </w:rPr>
        <w:t>和生态环境质量目标调整，三线一单确需进行更新的，按程序报批。</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640" w:firstLineChars="200"/>
        <w:jc w:val="left"/>
        <w:textAlignment w:val="auto"/>
        <w:outlineLvl w:val="9"/>
        <w:rPr>
          <w:rFonts w:hint="eastAsia"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Times New Roman" w:eastAsia="方正仿宋_GBK"/>
          <w:sz w:val="32"/>
          <w:szCs w:val="32"/>
        </w:rPr>
        <w:t>1</w:t>
      </w:r>
      <w:r>
        <w:rPr>
          <w:rFonts w:hint="eastAsia" w:ascii="Times New Roman" w:hAnsi="Times New Roman" w:eastAsia="方正仿宋_GBK"/>
          <w:sz w:val="32"/>
          <w:szCs w:val="32"/>
        </w:rPr>
        <w:t>.南川区环境管控单元统计表</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1600" w:firstLineChars="500"/>
        <w:jc w:val="left"/>
        <w:textAlignment w:val="auto"/>
        <w:outlineLvl w:val="9"/>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.南川区总体管控要求表</w:t>
      </w:r>
    </w:p>
    <w:p>
      <w:pPr>
        <w:pStyle w:val="2"/>
        <w:keepNext w:val="0"/>
        <w:keepLines w:val="0"/>
        <w:pageBreakBefore w:val="0"/>
        <w:widowControl w:val="0"/>
        <w:kinsoku/>
        <w:wordWrap/>
        <w:overflowPunct/>
        <w:topLinePunct w:val="0"/>
        <w:autoSpaceDE/>
        <w:autoSpaceDN/>
        <w:bidi w:val="0"/>
        <w:snapToGrid w:val="0"/>
        <w:spacing w:beforeLines="0" w:afterLines="0" w:line="600" w:lineRule="exact"/>
        <w:ind w:left="0" w:leftChars="0" w:right="0"/>
        <w:outlineLvl w:val="9"/>
        <w:rPr>
          <w:rFonts w:hint="eastAsia"/>
        </w:rPr>
      </w:pPr>
    </w:p>
    <w:p>
      <w:pPr>
        <w:keepNext w:val="0"/>
        <w:keepLines w:val="0"/>
        <w:pageBreakBefore w:val="0"/>
        <w:widowControl w:val="0"/>
        <w:kinsoku/>
        <w:wordWrap w:val="0"/>
        <w:overflowPunct/>
        <w:topLinePunct w:val="0"/>
        <w:autoSpaceDE/>
        <w:autoSpaceDN/>
        <w:bidi w:val="0"/>
        <w:spacing w:line="600" w:lineRule="exact"/>
        <w:jc w:val="righ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重庆市南川区人民政府</w:t>
      </w:r>
      <w:r>
        <w:rPr>
          <w:rFonts w:hint="eastAsia" w:ascii="Times New Roman" w:hAnsi="Times New Roman" w:eastAsia="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spacing w:line="600" w:lineRule="exact"/>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2020年</w:t>
      </w:r>
      <w:r>
        <w:rPr>
          <w:rFonts w:hint="eastAsia"/>
          <w:sz w:val="32"/>
          <w:szCs w:val="32"/>
          <w:lang w:val="en-US" w:eastAsia="zh-CN"/>
        </w:rPr>
        <w:t>7</w:t>
      </w:r>
      <w:r>
        <w:rPr>
          <w:rFonts w:hint="eastAsia" w:ascii="Times New Roman" w:hAnsi="Times New Roman" w:eastAsia="方正仿宋_GBK"/>
          <w:sz w:val="32"/>
          <w:szCs w:val="32"/>
        </w:rPr>
        <w:t>月</w:t>
      </w:r>
      <w:r>
        <w:rPr>
          <w:rFonts w:hint="eastAsia"/>
          <w:sz w:val="32"/>
          <w:szCs w:val="32"/>
          <w:lang w:val="en-US" w:eastAsia="zh-CN"/>
        </w:rPr>
        <w:t>2</w:t>
      </w:r>
      <w:r>
        <w:rPr>
          <w:rFonts w:hint="eastAsia" w:ascii="Times New Roman" w:hAnsi="Times New Roman" w:eastAsia="方正仿宋_GBK"/>
          <w:sz w:val="32"/>
          <w:szCs w:val="32"/>
        </w:rPr>
        <w:t>日</w:t>
      </w:r>
    </w:p>
    <w:p>
      <w:pPr>
        <w:pStyle w:val="2"/>
        <w:keepNext w:val="0"/>
        <w:keepLines w:val="0"/>
        <w:pageBreakBefore w:val="0"/>
        <w:widowControl w:val="0"/>
        <w:kinsoku/>
        <w:wordWrap/>
        <w:overflowPunct/>
        <w:topLinePunct w:val="0"/>
        <w:autoSpaceDE/>
        <w:autoSpaceDN/>
        <w:bidi w:val="0"/>
        <w:spacing w:beforeLines="0" w:afterLines="0" w:line="600" w:lineRule="exac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（此件公开发布）</w:t>
      </w: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pStyle w:val="2"/>
        <w:keepNext w:val="0"/>
        <w:keepLines w:val="0"/>
        <w:pageBreakBefore w:val="0"/>
        <w:widowControl w:val="0"/>
        <w:kinsoku/>
        <w:wordWrap/>
        <w:overflowPunct/>
        <w:topLinePunct w:val="0"/>
        <w:autoSpaceDE/>
        <w:autoSpaceDN/>
        <w:bidi w:val="0"/>
        <w:spacing w:beforeLines="0" w:afterLines="0" w:line="600" w:lineRule="exact"/>
        <w:rPr>
          <w:rFonts w:hint="eastAsia" w:ascii="Times New Roman" w:hAnsi="Times New Roman" w:eastAsia="方正仿宋_GBK"/>
          <w:sz w:val="32"/>
          <w:szCs w:val="32"/>
        </w:rPr>
      </w:pPr>
    </w:p>
    <w:p>
      <w:pPr>
        <w:jc w:val="left"/>
        <w:rPr>
          <w:rFonts w:hint="eastAsia" w:ascii="仿宋" w:hAnsi="仿宋" w:eastAsia="方正黑体_GBK"/>
          <w:sz w:val="28"/>
          <w:szCs w:val="28"/>
        </w:rPr>
      </w:pPr>
      <w:r>
        <w:rPr>
          <w:rFonts w:ascii="Times New Roman" w:hAnsi="Times New Roman" w:eastAsia="方正黑体_GBK"/>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28"/>
        </w:rPr>
      </w:pPr>
      <w:r>
        <w:rPr>
          <w:rFonts w:hint="eastAsia" w:ascii="Times New Roman" w:hAnsi="Times New Roman" w:eastAsia="方正小标宋_GBK"/>
          <w:sz w:val="44"/>
          <w:szCs w:val="28"/>
        </w:rPr>
        <w:t xml:space="preserve"> 南川区环境管控单元统计表</w:t>
      </w:r>
    </w:p>
    <w:p>
      <w:pPr>
        <w:pStyle w:val="2"/>
        <w:keepNext w:val="0"/>
        <w:keepLines w:val="0"/>
        <w:pageBreakBefore w:val="0"/>
        <w:widowControl w:val="0"/>
        <w:kinsoku/>
        <w:wordWrap/>
        <w:overflowPunct/>
        <w:topLinePunct w:val="0"/>
        <w:autoSpaceDE/>
        <w:autoSpaceDN/>
        <w:bidi w:val="0"/>
        <w:snapToGrid/>
        <w:spacing w:beforeLines="0" w:afterLines="0"/>
        <w:rPr>
          <w:rFonts w:hint="eastAsia"/>
          <w:lang w:val="en-US" w:eastAsia="zh-CN"/>
        </w:rPr>
      </w:pPr>
    </w:p>
    <w:tbl>
      <w:tblPr>
        <w:tblStyle w:val="1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0"/>
        <w:gridCol w:w="2839"/>
        <w:gridCol w:w="201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Header/>
        </w:trPr>
        <w:tc>
          <w:tcPr>
            <w:tcW w:w="1820" w:type="dxa"/>
            <w:vAlign w:val="center"/>
          </w:tcPr>
          <w:p>
            <w:pPr>
              <w:widowControl w:val="0"/>
              <w:wordWrap/>
              <w:adjustRightInd w:val="0"/>
              <w:snapToGrid w:val="0"/>
              <w:spacing w:line="32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环境管控</w:t>
            </w:r>
          </w:p>
          <w:p>
            <w:pPr>
              <w:widowControl w:val="0"/>
              <w:wordWrap/>
              <w:adjustRightInd w:val="0"/>
              <w:snapToGrid w:val="0"/>
              <w:spacing w:line="32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单元编码</w:t>
            </w:r>
          </w:p>
        </w:tc>
        <w:tc>
          <w:tcPr>
            <w:tcW w:w="2839" w:type="dxa"/>
            <w:vAlign w:val="center"/>
          </w:tcPr>
          <w:p>
            <w:pPr>
              <w:widowControl w:val="0"/>
              <w:wordWrap/>
              <w:adjustRightInd w:val="0"/>
              <w:snapToGrid w:val="0"/>
              <w:spacing w:line="320" w:lineRule="exact"/>
              <w:ind w:left="0" w:leftChars="0" w:right="57" w:rightChars="27"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环境管控</w:t>
            </w:r>
          </w:p>
          <w:p>
            <w:pPr>
              <w:widowControl w:val="0"/>
              <w:wordWrap/>
              <w:adjustRightInd w:val="0"/>
              <w:snapToGrid w:val="0"/>
              <w:spacing w:line="32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单元名称</w:t>
            </w:r>
          </w:p>
        </w:tc>
        <w:tc>
          <w:tcPr>
            <w:tcW w:w="2010" w:type="dxa"/>
            <w:vAlign w:val="center"/>
          </w:tcPr>
          <w:p>
            <w:pPr>
              <w:widowControl w:val="0"/>
              <w:wordWrap/>
              <w:adjustRightInd w:val="0"/>
              <w:snapToGrid w:val="0"/>
              <w:spacing w:line="32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环境管控</w:t>
            </w:r>
          </w:p>
          <w:p>
            <w:pPr>
              <w:widowControl w:val="0"/>
              <w:wordWrap/>
              <w:adjustRightInd w:val="0"/>
              <w:snapToGrid w:val="0"/>
              <w:spacing w:line="32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单元分类</w:t>
            </w:r>
          </w:p>
        </w:tc>
        <w:tc>
          <w:tcPr>
            <w:tcW w:w="2340" w:type="dxa"/>
            <w:vAlign w:val="center"/>
          </w:tcPr>
          <w:p>
            <w:pPr>
              <w:widowControl w:val="0"/>
              <w:wordWrap/>
              <w:snapToGrid w:val="0"/>
              <w:spacing w:line="32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环境管控</w:t>
            </w:r>
          </w:p>
          <w:p>
            <w:pPr>
              <w:widowControl w:val="0"/>
              <w:wordWrap/>
              <w:adjustRightInd w:val="0"/>
              <w:snapToGrid w:val="0"/>
              <w:spacing w:line="320" w:lineRule="exact"/>
              <w:ind w:left="0" w:leftChars="0" w:right="0" w:firstLine="0" w:firstLineChars="0"/>
              <w:jc w:val="center"/>
              <w:textAlignment w:val="auto"/>
              <w:outlineLvl w:val="9"/>
              <w:rPr>
                <w:rFonts w:hint="eastAsia" w:ascii="方正黑体_GBK" w:hAnsi="方正黑体_GBK" w:eastAsia="方正黑体_GBK" w:cs="方正黑体_GBK"/>
                <w:b w:val="0"/>
                <w:bCs w:val="0"/>
                <w:kern w:val="0"/>
                <w:sz w:val="24"/>
                <w:szCs w:val="24"/>
              </w:rPr>
            </w:pPr>
            <w:r>
              <w:rPr>
                <w:rFonts w:hint="eastAsia" w:ascii="方正黑体_GBK" w:hAnsi="方正黑体_GBK" w:eastAsia="方正黑体_GBK" w:cs="方正黑体_GBK"/>
                <w:b w:val="0"/>
                <w:bCs w:val="0"/>
                <w:kern w:val="0"/>
                <w:sz w:val="24"/>
                <w:szCs w:val="24"/>
              </w:rPr>
              <w:t>单元要素分区组成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ZH50011910001</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南川区南城街道双河水库英岩水厂水源地</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优先保护单元1</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ZH50011910002</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南川区东城街道肖家沟水库梅垭水厂水源地</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优先保护单元2</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饮用水源保护区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ZH50011910003</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金佛山国家级自然保护区</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优先保护单元3</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国家级自然保护区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ZH50011910004</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金佛山国家级风景名胜区红线</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优先保护单元4</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国家级风景名胜区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ZH50011910005</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重庆金佛山国家森林公园</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优先保护单元5</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国家级森林公园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ZH50011910006</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重庆市楠竹山森林公园</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优先保护单元6</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ZH50011910007</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重庆市乐村森林公园</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优先保护单元7</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ZH50011910008</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重庆市顺龙山森林公园</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优先保护单元8</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ZH50011910009</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重庆市睡佛山森林公园</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优先保护单元9</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ZH50011910010</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重庆南川山王坪喀斯特</w:t>
            </w:r>
          </w:p>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国家生态公园</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优先保护单元10</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国家生态公园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ZH50011910011</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重庆南川黎香湖国家湿地公园</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优先保护单元11</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国家级湿地公园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ZH50011910012</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w:t>
            </w:r>
            <w:r>
              <w:rPr>
                <w:rFonts w:hint="eastAsia" w:ascii="仿宋" w:hAnsi="仿宋" w:eastAsia="仿宋" w:cs="仿宋"/>
                <w:kern w:val="0"/>
                <w:sz w:val="24"/>
                <w:szCs w:val="24"/>
                <w:lang w:eastAsia="zh-CN"/>
              </w:rPr>
              <w:t>庆</w:t>
            </w:r>
            <w:r>
              <w:rPr>
                <w:rFonts w:hint="eastAsia" w:ascii="仿宋" w:hAnsi="仿宋" w:eastAsia="仿宋" w:cs="仿宋"/>
                <w:kern w:val="0"/>
                <w:sz w:val="24"/>
                <w:szCs w:val="24"/>
              </w:rPr>
              <w:t>大石包市级湿地公园</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优先保护单元12</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市级湿地公园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ZH50011910013</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南川区生物多样性维护</w:t>
            </w:r>
          </w:p>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功能区</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优先保护单元13</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红线中生态功能区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ZH50011910014</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南川区水土保持功能区</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优先保护单元14</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红线中生态功能区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ZH50011910015</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南川区一般生态空间-生物多样性维护</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优先保护单元15</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生物多样性维护生态功能区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ZH50011910016</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南川区一般生态空间-水土保持</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优先保护单元16</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水土保持功能区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ZH50011920001</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南川区重点管控单元-大溪河平桥镇</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重点管控单元1</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水环境城镇生活污染重点管控区、大气弱扩散区、生态补水区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ZH50011920002</w:t>
            </w:r>
          </w:p>
        </w:tc>
        <w:tc>
          <w:tcPr>
            <w:tcW w:w="2839"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南川区重点管控单元-大溪河南川中游</w:t>
            </w:r>
          </w:p>
        </w:tc>
        <w:tc>
          <w:tcPr>
            <w:tcW w:w="201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重点管控单元2</w:t>
            </w:r>
          </w:p>
        </w:tc>
        <w:tc>
          <w:tcPr>
            <w:tcW w:w="234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水环境工业-城镇生活污染重点管控区、大气高排放区、建设用地污染风险防控区、高污染燃料禁燃区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ZH50011920003</w:t>
            </w:r>
          </w:p>
        </w:tc>
        <w:tc>
          <w:tcPr>
            <w:tcW w:w="2839"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南川区重点管控单元-</w:t>
            </w:r>
          </w:p>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大溪河龙川江</w:t>
            </w:r>
          </w:p>
        </w:tc>
        <w:tc>
          <w:tcPr>
            <w:tcW w:w="201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重点管控单元3</w:t>
            </w:r>
          </w:p>
        </w:tc>
        <w:tc>
          <w:tcPr>
            <w:tcW w:w="234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水环境工业污染重点管控区、大气高排放区、大气弱扩散区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ZH50011920004</w:t>
            </w:r>
          </w:p>
        </w:tc>
        <w:tc>
          <w:tcPr>
            <w:tcW w:w="2839"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南川区重点管控单元-</w:t>
            </w:r>
          </w:p>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大溪河南川上游</w:t>
            </w:r>
          </w:p>
        </w:tc>
        <w:tc>
          <w:tcPr>
            <w:tcW w:w="201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重点管控单元4</w:t>
            </w:r>
          </w:p>
        </w:tc>
        <w:tc>
          <w:tcPr>
            <w:tcW w:w="2340" w:type="dxa"/>
            <w:vMerge w:val="restart"/>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水环境工业污染重点管控区、大气高排放区、建设用地污染风险防控区、高污染燃料禁燃区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839"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01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c>
          <w:tcPr>
            <w:tcW w:w="2340" w:type="dxa"/>
            <w:vMerge w:val="continue"/>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ZH50011920005</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南川区重点管控单元-</w:t>
            </w:r>
          </w:p>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大溪河鱼泉河</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重点管控单元5</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水环境工业污染重点管控区、大气高排放区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ZH50011920006</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南川区城镇开发边界</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重点管控单元6</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大气受体敏感区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ZH50011930001</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南川区一般管控单元-</w:t>
            </w:r>
          </w:p>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柏枝溪金狮桥</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一般管控单元1</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农用地优先保护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ZH50011930002</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南川区一般管控单元-</w:t>
            </w:r>
          </w:p>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大溪河龙岩河</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一般管控单元2</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农用地优先保护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ZH50011930003</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南川区一般管控单元-</w:t>
            </w:r>
          </w:p>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黎香溪增福</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一般管控单元3</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农用地优先保护、大气弱扩散区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trPr>
        <w:tc>
          <w:tcPr>
            <w:tcW w:w="182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ZH50011930004</w:t>
            </w:r>
          </w:p>
        </w:tc>
        <w:tc>
          <w:tcPr>
            <w:tcW w:w="2839"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南川区一般管控单元-蒲河红岩</w:t>
            </w:r>
          </w:p>
        </w:tc>
        <w:tc>
          <w:tcPr>
            <w:tcW w:w="201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一般管控单元4</w:t>
            </w:r>
          </w:p>
        </w:tc>
        <w:tc>
          <w:tcPr>
            <w:tcW w:w="2340" w:type="dxa"/>
            <w:vAlign w:val="center"/>
          </w:tcPr>
          <w:p>
            <w:pPr>
              <w:widowControl w:val="0"/>
              <w:wordWrap/>
              <w:adjustRightInd w:val="0"/>
              <w:snapToGrid w:val="0"/>
              <w:spacing w:line="380" w:lineRule="exact"/>
              <w:ind w:left="0" w:leftChars="0" w:right="0" w:firstLine="0" w:firstLineChars="0"/>
              <w:jc w:val="center"/>
              <w:textAlignment w:val="auto"/>
              <w:outlineLvl w:val="9"/>
              <w:rPr>
                <w:rFonts w:ascii="仿宋" w:hAnsi="仿宋" w:eastAsia="仿宋" w:cs="仿宋"/>
                <w:kern w:val="0"/>
                <w:sz w:val="24"/>
                <w:szCs w:val="24"/>
              </w:rPr>
            </w:pPr>
            <w:r>
              <w:rPr>
                <w:rFonts w:hint="eastAsia" w:ascii="仿宋" w:hAnsi="仿宋" w:eastAsia="仿宋" w:cs="仿宋"/>
                <w:kern w:val="0"/>
                <w:sz w:val="24"/>
                <w:szCs w:val="24"/>
              </w:rPr>
              <w:t>农用地优先保护、大气弱扩散区</w:t>
            </w:r>
          </w:p>
        </w:tc>
      </w:tr>
    </w:tbl>
    <w:p>
      <w:pPr>
        <w:pStyle w:val="2"/>
        <w:ind w:left="0" w:leftChars="0" w:firstLine="0" w:firstLineChars="0"/>
        <w:rPr>
          <w:rFonts w:hint="eastAsia" w:ascii="Times New Roman" w:hAnsi="Times New Roman"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eastAsia="方正黑体_GBK"/>
          <w:sz w:val="32"/>
          <w:szCs w:val="32"/>
        </w:rPr>
      </w:pPr>
      <w:r>
        <w:rPr>
          <w:rFonts w:ascii="Times New Roman" w:hAnsi="Times New Roman" w:eastAsia="方正黑体_GBK"/>
          <w:sz w:val="32"/>
          <w:szCs w:val="32"/>
        </w:rPr>
        <w:t>附件2</w:t>
      </w:r>
    </w:p>
    <w:p>
      <w:pPr>
        <w:pStyle w:val="2"/>
        <w:keepNext w:val="0"/>
        <w:keepLines w:val="0"/>
        <w:pageBreakBefore w:val="0"/>
        <w:widowControl w:val="0"/>
        <w:kinsoku/>
        <w:wordWrap/>
        <w:overflowPunct/>
        <w:topLinePunct w:val="0"/>
        <w:autoSpaceDE/>
        <w:autoSpaceDN/>
        <w:bidi w:val="0"/>
        <w:snapToGrid/>
        <w:spacing w:beforeLines="0" w:afterLines="0" w:line="600" w:lineRule="exac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28"/>
        </w:rPr>
      </w:pPr>
      <w:r>
        <w:rPr>
          <w:rFonts w:hint="eastAsia" w:ascii="Times New Roman" w:hAnsi="Times New Roman" w:eastAsia="方正小标宋_GBK"/>
          <w:sz w:val="44"/>
          <w:szCs w:val="28"/>
        </w:rPr>
        <w:t>南川区总体管控要求表</w:t>
      </w:r>
    </w:p>
    <w:p>
      <w:pPr>
        <w:pStyle w:val="2"/>
        <w:keepNext w:val="0"/>
        <w:keepLines w:val="0"/>
        <w:pageBreakBefore w:val="0"/>
        <w:widowControl w:val="0"/>
        <w:kinsoku/>
        <w:wordWrap/>
        <w:overflowPunct/>
        <w:topLinePunct w:val="0"/>
        <w:autoSpaceDE/>
        <w:autoSpaceDN/>
        <w:bidi w:val="0"/>
        <w:snapToGrid/>
        <w:spacing w:beforeLines="0" w:afterLines="0"/>
        <w:rPr>
          <w:rFonts w:hint="eastAsia"/>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7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blHeader/>
          <w:jc w:val="center"/>
        </w:trPr>
        <w:tc>
          <w:tcPr>
            <w:tcW w:w="1058" w:type="dxa"/>
            <w:tcBorders>
              <w:top w:val="single" w:color="auto" w:sz="4" w:space="0"/>
              <w:left w:val="single" w:color="auto" w:sz="4" w:space="0"/>
              <w:right w:val="single" w:color="auto" w:sz="4" w:space="0"/>
            </w:tcBorders>
            <w:vAlign w:val="center"/>
          </w:tcPr>
          <w:p>
            <w:pPr>
              <w:pStyle w:val="22"/>
              <w:widowControl w:val="0"/>
              <w:wordWrap/>
              <w:adjustRightInd w:val="0"/>
              <w:snapToGrid w:val="0"/>
              <w:spacing w:line="360" w:lineRule="exact"/>
              <w:ind w:left="0" w:leftChars="0" w:right="0" w:firstLine="0" w:firstLineChars="0"/>
              <w:jc w:val="center"/>
              <w:textAlignment w:val="auto"/>
              <w:outlineLvl w:val="9"/>
              <w:rPr>
                <w:rFonts w:hint="eastAsia" w:ascii="方正黑体_GBK" w:hAnsi="方正黑体_GBK" w:eastAsia="方正黑体_GBK" w:cs="方正黑体_GBK"/>
                <w:b w:val="0"/>
                <w:bCs/>
                <w:sz w:val="24"/>
                <w:szCs w:val="24"/>
                <w:lang w:bidi="ar-SA"/>
              </w:rPr>
            </w:pPr>
            <w:r>
              <w:rPr>
                <w:rFonts w:hint="eastAsia" w:ascii="方正黑体_GBK" w:hAnsi="方正黑体_GBK" w:eastAsia="方正黑体_GBK" w:cs="方正黑体_GBK"/>
                <w:b w:val="0"/>
                <w:bCs/>
                <w:sz w:val="24"/>
                <w:szCs w:val="24"/>
                <w:lang w:bidi="ar-SA"/>
              </w:rPr>
              <w:t>管控</w:t>
            </w:r>
          </w:p>
          <w:p>
            <w:pPr>
              <w:pStyle w:val="22"/>
              <w:widowControl w:val="0"/>
              <w:wordWrap/>
              <w:adjustRightInd w:val="0"/>
              <w:snapToGrid w:val="0"/>
              <w:spacing w:line="340" w:lineRule="exact"/>
              <w:ind w:left="0" w:leftChars="0" w:right="0"/>
              <w:jc w:val="center"/>
              <w:outlineLvl w:val="9"/>
              <w:rPr>
                <w:rFonts w:hint="eastAsia" w:ascii="仿宋" w:hAnsi="仿宋" w:eastAsia="仿宋" w:cs="仿宋"/>
                <w:b/>
                <w:sz w:val="24"/>
                <w:szCs w:val="24"/>
                <w:lang w:bidi="ar-SA"/>
              </w:rPr>
            </w:pPr>
            <w:r>
              <w:rPr>
                <w:rFonts w:hint="eastAsia" w:ascii="方正黑体_GBK" w:hAnsi="方正黑体_GBK" w:eastAsia="方正黑体_GBK" w:cs="方正黑体_GBK"/>
                <w:b w:val="0"/>
                <w:bCs/>
                <w:sz w:val="24"/>
                <w:szCs w:val="24"/>
                <w:lang w:bidi="ar-SA"/>
              </w:rPr>
              <w:t>类别</w:t>
            </w:r>
          </w:p>
        </w:tc>
        <w:tc>
          <w:tcPr>
            <w:tcW w:w="7464" w:type="dxa"/>
            <w:tcBorders>
              <w:top w:val="single" w:color="auto" w:sz="4" w:space="0"/>
              <w:left w:val="single" w:color="auto" w:sz="4" w:space="0"/>
              <w:bottom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hint="eastAsia" w:ascii="仿宋" w:hAnsi="仿宋" w:eastAsia="仿宋" w:cs="仿宋"/>
                <w:sz w:val="24"/>
                <w:szCs w:val="24"/>
                <w:lang w:bidi="ar-SA"/>
              </w:rPr>
            </w:pPr>
            <w:r>
              <w:rPr>
                <w:rFonts w:hint="eastAsia" w:ascii="方正黑体_GBK" w:hAnsi="方正黑体_GBK" w:eastAsia="方正黑体_GBK" w:cs="方正黑体_GBK"/>
                <w:b w:val="0"/>
                <w:bCs/>
                <w:sz w:val="24"/>
                <w:szCs w:val="24"/>
                <w:lang w:bidi="ar-SA"/>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058" w:type="dxa"/>
            <w:vMerge w:val="restart"/>
            <w:tcBorders>
              <w:top w:val="single" w:color="auto" w:sz="4" w:space="0"/>
              <w:left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sz w:val="24"/>
                <w:szCs w:val="24"/>
                <w:lang w:bidi="ar-SA"/>
              </w:rPr>
            </w:pPr>
            <w:r>
              <w:rPr>
                <w:rFonts w:hint="eastAsia" w:ascii="仿宋" w:hAnsi="仿宋" w:eastAsia="仿宋" w:cs="仿宋"/>
                <w:b/>
                <w:sz w:val="24"/>
                <w:szCs w:val="24"/>
                <w:lang w:bidi="ar-SA"/>
              </w:rPr>
              <w:t>空间布局约束</w:t>
            </w:r>
          </w:p>
        </w:tc>
        <w:tc>
          <w:tcPr>
            <w:tcW w:w="7464" w:type="dxa"/>
            <w:tcBorders>
              <w:top w:val="single" w:color="auto" w:sz="4" w:space="0"/>
              <w:left w:val="single" w:color="auto" w:sz="4" w:space="0"/>
              <w:bottom w:val="single" w:color="auto" w:sz="4" w:space="0"/>
              <w:right w:val="single" w:color="auto" w:sz="4" w:space="0"/>
            </w:tcBorders>
            <w:vAlign w:val="center"/>
          </w:tcPr>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 xml:space="preserve">第一条 金佛山国家级自然保护区实验区内已建成的设施，其污染物排放超过国家和地方规定的排放标准的，应当限期治理；造成损害的，必须严格要求采取补救措施。 </w:t>
            </w:r>
          </w:p>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第二条 禁止超过生态承载力的旅游活动。在旅游资源开发利用过程中，应合理有序撤除与资源景观保护冲突的设施。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58" w:type="dxa"/>
            <w:vMerge w:val="continue"/>
            <w:tcBorders>
              <w:left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p>
        </w:tc>
        <w:tc>
          <w:tcPr>
            <w:tcW w:w="7464" w:type="dxa"/>
            <w:tcBorders>
              <w:top w:val="single" w:color="auto" w:sz="4" w:space="0"/>
              <w:left w:val="single" w:color="auto" w:sz="4" w:space="0"/>
              <w:right w:val="single" w:color="auto" w:sz="4" w:space="0"/>
            </w:tcBorders>
            <w:vAlign w:val="center"/>
          </w:tcPr>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第三条 优化工业园区产业布局，严把环境准入关，禁止建设南川区产业定位中明确禁止的项目，大观组团禁止引进屠宰、生物发酵制药等污水排放量大的项目。</w:t>
            </w:r>
          </w:p>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第四条  根据南平、水江、龙岩和大观组团园区实际情况设定防</w:t>
            </w:r>
            <w:bookmarkStart w:id="0" w:name="_GoBack"/>
            <w:bookmarkEnd w:id="0"/>
            <w:r>
              <w:rPr>
                <w:rFonts w:hint="eastAsia" w:ascii="仿宋" w:hAnsi="仿宋" w:eastAsia="仿宋" w:cs="仿宋"/>
                <w:sz w:val="24"/>
                <w:szCs w:val="24"/>
                <w:lang w:bidi="ar-SA"/>
              </w:rPr>
              <w:t>护林及防护绿地等缓冲带。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058" w:type="dxa"/>
            <w:vMerge w:val="continue"/>
            <w:tcBorders>
              <w:left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p>
        </w:tc>
        <w:tc>
          <w:tcPr>
            <w:tcW w:w="7464" w:type="dxa"/>
            <w:tcBorders>
              <w:top w:val="single" w:color="auto" w:sz="4" w:space="0"/>
              <w:left w:val="single" w:color="auto" w:sz="4" w:space="0"/>
              <w:right w:val="single" w:color="auto" w:sz="4" w:space="0"/>
            </w:tcBorders>
            <w:vAlign w:val="center"/>
          </w:tcPr>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第五条 对工业用地上“零土地”（不涉及新征建设用地）技术改造升级且“两不增”（不增加污染物排放总量、不增大环境风险）的建设项目，对原老工业企业集聚区（地）在城乡规划未改变其工业用地性质的前提和期限内，且列入所在区县工业发展等规划并依法开展了规划环评的项目，依法依规加快推进环评文件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Merge w:val="restart"/>
            <w:tcBorders>
              <w:top w:val="single" w:color="auto" w:sz="4" w:space="0"/>
              <w:left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r>
              <w:rPr>
                <w:rFonts w:hint="eastAsia" w:ascii="仿宋" w:hAnsi="仿宋" w:eastAsia="仿宋" w:cs="仿宋"/>
                <w:b/>
                <w:sz w:val="24"/>
                <w:szCs w:val="24"/>
                <w:lang w:bidi="ar-SA"/>
              </w:rPr>
              <w:t>污染物排放管控</w:t>
            </w:r>
          </w:p>
        </w:tc>
        <w:tc>
          <w:tcPr>
            <w:tcW w:w="7464" w:type="dxa"/>
            <w:tcBorders>
              <w:top w:val="single" w:color="auto" w:sz="4" w:space="0"/>
              <w:left w:val="single" w:color="auto" w:sz="4" w:space="0"/>
              <w:bottom w:val="single" w:color="auto" w:sz="4" w:space="0"/>
              <w:right w:val="single" w:color="auto" w:sz="4" w:space="0"/>
            </w:tcBorders>
            <w:vAlign w:val="center"/>
          </w:tcPr>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第六条</w:t>
            </w:r>
            <w:r>
              <w:rPr>
                <w:rFonts w:hint="eastAsia" w:ascii="仿宋" w:hAnsi="仿宋" w:eastAsia="仿宋" w:cs="仿宋"/>
                <w:sz w:val="24"/>
                <w:szCs w:val="24"/>
                <w:lang w:val="en-US" w:eastAsia="zh-CN" w:bidi="ar-SA"/>
              </w:rPr>
              <w:t xml:space="preserve"> </w:t>
            </w:r>
            <w:r>
              <w:rPr>
                <w:rFonts w:hint="eastAsia" w:ascii="仿宋" w:hAnsi="仿宋" w:eastAsia="仿宋" w:cs="仿宋"/>
                <w:sz w:val="24"/>
                <w:szCs w:val="24"/>
                <w:lang w:bidi="ar-SA"/>
              </w:rPr>
              <w:t>提高农肥利用率，提高乡镇污水处理率，加强农田氮磷流失、畜禽养殖废弃物排放、农田地膜残留、耕地重金属污染等农业面源污染治理工作。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8" w:type="dxa"/>
            <w:vMerge w:val="continue"/>
            <w:tcBorders>
              <w:left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p>
        </w:tc>
        <w:tc>
          <w:tcPr>
            <w:tcW w:w="7464" w:type="dxa"/>
            <w:tcBorders>
              <w:top w:val="single" w:color="auto" w:sz="4" w:space="0"/>
              <w:left w:val="single" w:color="auto" w:sz="4" w:space="0"/>
              <w:bottom w:val="single" w:color="auto" w:sz="4" w:space="0"/>
              <w:right w:val="single" w:color="auto" w:sz="4" w:space="0"/>
            </w:tcBorders>
            <w:vAlign w:val="center"/>
          </w:tcPr>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第七条</w:t>
            </w:r>
            <w:r>
              <w:rPr>
                <w:rFonts w:hint="eastAsia" w:ascii="仿宋" w:hAnsi="仿宋" w:eastAsia="仿宋" w:cs="仿宋"/>
                <w:sz w:val="24"/>
                <w:szCs w:val="24"/>
                <w:lang w:val="en-US" w:eastAsia="zh-CN" w:bidi="ar-SA"/>
              </w:rPr>
              <w:t xml:space="preserve"> </w:t>
            </w:r>
            <w:r>
              <w:rPr>
                <w:rFonts w:hint="eastAsia" w:ascii="仿宋" w:hAnsi="仿宋" w:eastAsia="仿宋" w:cs="仿宋"/>
                <w:sz w:val="24"/>
                <w:szCs w:val="24"/>
                <w:lang w:bidi="ar-SA"/>
              </w:rPr>
              <w:t>加快推进实施《重庆市南川区龙川江水体达标方案（2017-2020年）》，新建工业企业原则上应进入工业园区，并满足污染排放及污染物总量控制要求，园区内工业废水必</w:t>
            </w:r>
            <w:r>
              <w:rPr>
                <w:rFonts w:hint="eastAsia" w:ascii="仿宋" w:hAnsi="仿宋" w:eastAsia="仿宋" w:cs="仿宋"/>
                <w:sz w:val="24"/>
                <w:szCs w:val="24"/>
                <w:lang w:eastAsia="zh-CN" w:bidi="ar-SA"/>
              </w:rPr>
              <w:t>须</w:t>
            </w:r>
            <w:r>
              <w:rPr>
                <w:rFonts w:hint="eastAsia" w:ascii="仿宋" w:hAnsi="仿宋" w:eastAsia="仿宋" w:cs="仿宋"/>
                <w:sz w:val="24"/>
                <w:szCs w:val="24"/>
                <w:lang w:bidi="ar-SA"/>
              </w:rPr>
              <w:t xml:space="preserve">经过预处理达到集中处理要求，方可进入污水处理厂，确保龙川江水质达标。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58" w:type="dxa"/>
            <w:vMerge w:val="continue"/>
            <w:tcBorders>
              <w:left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p>
        </w:tc>
        <w:tc>
          <w:tcPr>
            <w:tcW w:w="7464" w:type="dxa"/>
            <w:tcBorders>
              <w:top w:val="single" w:color="auto" w:sz="4" w:space="0"/>
              <w:left w:val="single" w:color="auto" w:sz="4" w:space="0"/>
              <w:bottom w:val="single" w:color="auto" w:sz="4" w:space="0"/>
              <w:right w:val="single" w:color="auto" w:sz="4" w:space="0"/>
            </w:tcBorders>
            <w:vAlign w:val="center"/>
          </w:tcPr>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第八条 对页岩气开发过程中产生的工业固废合理有效处置或综合利用；根据实际页岩气区块开发和产水情况优化调整污水处理设施规模，确保废水全部处理达标排放。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58" w:type="dxa"/>
            <w:vMerge w:val="continue"/>
            <w:tcBorders>
              <w:left w:val="single" w:color="auto" w:sz="4" w:space="0"/>
              <w:bottom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p>
        </w:tc>
        <w:tc>
          <w:tcPr>
            <w:tcW w:w="7464" w:type="dxa"/>
            <w:tcBorders>
              <w:top w:val="single" w:color="auto" w:sz="4" w:space="0"/>
              <w:left w:val="single" w:color="auto" w:sz="4" w:space="0"/>
              <w:bottom w:val="single" w:color="auto" w:sz="4" w:space="0"/>
              <w:right w:val="single" w:color="auto" w:sz="4" w:space="0"/>
            </w:tcBorders>
            <w:vAlign w:val="center"/>
          </w:tcPr>
          <w:p>
            <w:pPr>
              <w:pStyle w:val="22"/>
              <w:widowControl w:val="0"/>
              <w:wordWrap/>
              <w:adjustRightInd w:val="0"/>
              <w:snapToGrid w:val="0"/>
              <w:spacing w:line="360" w:lineRule="exact"/>
              <w:ind w:left="0" w:leftChars="0" w:right="0" w:firstLine="0" w:firstLineChars="0"/>
              <w:jc w:val="both"/>
              <w:textAlignment w:val="auto"/>
              <w:outlineLvl w:val="9"/>
              <w:rPr>
                <w:rFonts w:ascii="仿宋" w:hAnsi="仿宋" w:eastAsia="仿宋" w:cs="仿宋"/>
                <w:sz w:val="24"/>
                <w:szCs w:val="24"/>
                <w:lang w:bidi="ar-SA"/>
              </w:rPr>
            </w:pPr>
            <w:r>
              <w:rPr>
                <w:rFonts w:hint="eastAsia" w:ascii="仿宋" w:hAnsi="仿宋" w:eastAsia="仿宋" w:cs="仿宋"/>
                <w:sz w:val="24"/>
                <w:szCs w:val="24"/>
                <w:lang w:bidi="ar-SA"/>
              </w:rPr>
              <w:t>第九条 人口集中居住区采取规范化隔离或覆盖等防尘措施，有效控制扬尘污染。新、改、扩建项目涉及排放挥发性有机物的车间，应采取一定的废气防控措施；对产生臭气的生产单元应采取除臭措施，确保臭气浓度场界达标，避免臭气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1058" w:type="dxa"/>
            <w:tcBorders>
              <w:top w:val="single" w:color="auto" w:sz="4" w:space="0"/>
              <w:left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r>
              <w:rPr>
                <w:rFonts w:hint="eastAsia" w:ascii="仿宋" w:hAnsi="仿宋" w:eastAsia="仿宋" w:cs="仿宋"/>
                <w:b/>
                <w:sz w:val="24"/>
                <w:szCs w:val="24"/>
                <w:lang w:bidi="ar-SA"/>
              </w:rPr>
              <w:t>环境风险防控</w:t>
            </w:r>
          </w:p>
        </w:tc>
        <w:tc>
          <w:tcPr>
            <w:tcW w:w="7464" w:type="dxa"/>
            <w:tcBorders>
              <w:top w:val="single" w:color="auto" w:sz="4" w:space="0"/>
              <w:left w:val="single" w:color="auto" w:sz="4" w:space="0"/>
              <w:right w:val="single" w:color="auto" w:sz="4" w:space="0"/>
            </w:tcBorders>
            <w:vAlign w:val="center"/>
          </w:tcPr>
          <w:p>
            <w:pPr>
              <w:pStyle w:val="23"/>
              <w:widowControl w:val="0"/>
              <w:wordWrap/>
              <w:adjustRightInd w:val="0"/>
              <w:snapToGrid w:val="0"/>
              <w:spacing w:line="340" w:lineRule="exact"/>
              <w:ind w:left="0" w:leftChars="0" w:right="0"/>
              <w:jc w:val="left"/>
              <w:outlineLvl w:val="9"/>
              <w:rPr>
                <w:rFonts w:ascii="仿宋" w:hAnsi="仿宋" w:cs="仿宋"/>
                <w:sz w:val="24"/>
                <w:szCs w:val="24"/>
              </w:rPr>
            </w:pPr>
            <w:r>
              <w:rPr>
                <w:rFonts w:hint="eastAsia" w:ascii="仿宋" w:hAnsi="仿宋" w:cs="仿宋"/>
                <w:sz w:val="24"/>
                <w:szCs w:val="24"/>
              </w:rPr>
              <w:t>第十条 工业园区应制定环境风险应急预案，按要求开展突发环境事件风险评估。成立应急组织机构，定期开展应急演练，提高区域环境风险防范能力。建设环境应急物资储备库，企业环境应急装备和储备物资应纳入储备体系。</w:t>
            </w:r>
          </w:p>
          <w:p>
            <w:pPr>
              <w:pStyle w:val="23"/>
              <w:widowControl w:val="0"/>
              <w:wordWrap/>
              <w:adjustRightInd w:val="0"/>
              <w:snapToGrid w:val="0"/>
              <w:spacing w:line="340" w:lineRule="exact"/>
              <w:ind w:left="0" w:leftChars="0" w:right="0"/>
              <w:jc w:val="left"/>
              <w:outlineLvl w:val="9"/>
              <w:rPr>
                <w:rFonts w:ascii="仿宋" w:hAnsi="仿宋" w:cs="仿宋"/>
                <w:sz w:val="24"/>
                <w:szCs w:val="24"/>
              </w:rPr>
            </w:pPr>
            <w:r>
              <w:rPr>
                <w:rFonts w:hint="eastAsia" w:ascii="仿宋" w:hAnsi="仿宋" w:cs="仿宋"/>
                <w:sz w:val="24"/>
                <w:szCs w:val="24"/>
              </w:rPr>
              <w:t>第十一条 涉重及涉危险化学品的设施禁止选址于溶洞区及地下暗河上方。各项目详设阶段除要求严格执行相应防渗标准外，装置的布局要根据水文地质条件优化调整；加强页岩气开采中的水环境保护和跟踪监测工作。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058" w:type="dxa"/>
            <w:vMerge w:val="restart"/>
            <w:tcBorders>
              <w:top w:val="single" w:color="auto" w:sz="4" w:space="0"/>
              <w:left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r>
              <w:rPr>
                <w:rFonts w:hint="eastAsia" w:ascii="仿宋" w:hAnsi="仿宋" w:eastAsia="仿宋" w:cs="仿宋"/>
                <w:b/>
                <w:sz w:val="24"/>
                <w:szCs w:val="24"/>
                <w:lang w:bidi="ar-SA"/>
              </w:rPr>
              <w:t>资源利用效率</w:t>
            </w:r>
          </w:p>
        </w:tc>
        <w:tc>
          <w:tcPr>
            <w:tcW w:w="7464" w:type="dxa"/>
            <w:tcBorders>
              <w:top w:val="single" w:color="auto" w:sz="4" w:space="0"/>
              <w:left w:val="single" w:color="auto" w:sz="4" w:space="0"/>
              <w:bottom w:val="single" w:color="auto" w:sz="4" w:space="0"/>
              <w:right w:val="single" w:color="auto" w:sz="4" w:space="0"/>
            </w:tcBorders>
            <w:vAlign w:val="center"/>
          </w:tcPr>
          <w:p>
            <w:pPr>
              <w:pStyle w:val="23"/>
              <w:widowControl w:val="0"/>
              <w:wordWrap/>
              <w:adjustRightInd w:val="0"/>
              <w:snapToGrid w:val="0"/>
              <w:spacing w:line="340" w:lineRule="exact"/>
              <w:ind w:left="0" w:leftChars="0" w:right="0"/>
              <w:jc w:val="left"/>
              <w:outlineLvl w:val="9"/>
              <w:rPr>
                <w:rFonts w:ascii="仿宋" w:hAnsi="仿宋" w:cs="仿宋"/>
                <w:sz w:val="24"/>
                <w:szCs w:val="24"/>
              </w:rPr>
            </w:pPr>
            <w:r>
              <w:rPr>
                <w:rFonts w:hint="eastAsia" w:ascii="仿宋" w:hAnsi="仿宋" w:cs="仿宋"/>
                <w:sz w:val="24"/>
                <w:szCs w:val="24"/>
              </w:rPr>
              <w:t>第十二条 旅游开发建设中推行节水措施和中水回用，提高水资源回用率，严格制定并落实资源保护制度和措施。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058" w:type="dxa"/>
            <w:vMerge w:val="continue"/>
            <w:tcBorders>
              <w:left w:val="single" w:color="auto" w:sz="4" w:space="0"/>
              <w:bottom w:val="single" w:color="auto" w:sz="4" w:space="0"/>
              <w:right w:val="single" w:color="auto" w:sz="4" w:space="0"/>
            </w:tcBorders>
            <w:vAlign w:val="center"/>
          </w:tcPr>
          <w:p>
            <w:pPr>
              <w:pStyle w:val="22"/>
              <w:widowControl w:val="0"/>
              <w:wordWrap/>
              <w:adjustRightInd w:val="0"/>
              <w:snapToGrid w:val="0"/>
              <w:spacing w:line="340" w:lineRule="exact"/>
              <w:ind w:left="0" w:leftChars="0" w:right="0"/>
              <w:jc w:val="center"/>
              <w:outlineLvl w:val="9"/>
              <w:rPr>
                <w:rFonts w:ascii="仿宋" w:hAnsi="仿宋" w:eastAsia="仿宋" w:cs="仿宋"/>
                <w:b/>
                <w:sz w:val="24"/>
                <w:szCs w:val="24"/>
                <w:lang w:bidi="ar-SA"/>
              </w:rPr>
            </w:pPr>
          </w:p>
        </w:tc>
        <w:tc>
          <w:tcPr>
            <w:tcW w:w="7464" w:type="dxa"/>
            <w:tcBorders>
              <w:top w:val="single" w:color="auto" w:sz="4" w:space="0"/>
              <w:left w:val="single" w:color="auto" w:sz="4" w:space="0"/>
              <w:bottom w:val="single" w:color="auto" w:sz="4" w:space="0"/>
              <w:right w:val="single" w:color="auto" w:sz="4" w:space="0"/>
            </w:tcBorders>
            <w:vAlign w:val="center"/>
          </w:tcPr>
          <w:p>
            <w:pPr>
              <w:pStyle w:val="23"/>
              <w:widowControl w:val="0"/>
              <w:wordWrap/>
              <w:adjustRightInd w:val="0"/>
              <w:snapToGrid w:val="0"/>
              <w:spacing w:line="340" w:lineRule="exact"/>
              <w:ind w:left="0" w:leftChars="0" w:right="0"/>
              <w:jc w:val="left"/>
              <w:outlineLvl w:val="9"/>
              <w:rPr>
                <w:rFonts w:ascii="仿宋" w:hAnsi="仿宋" w:cs="仿宋"/>
                <w:sz w:val="24"/>
                <w:szCs w:val="24"/>
              </w:rPr>
            </w:pPr>
            <w:r>
              <w:rPr>
                <w:rFonts w:hint="eastAsia" w:ascii="仿宋" w:hAnsi="仿宋" w:cs="宋体"/>
                <w:sz w:val="24"/>
                <w:szCs w:val="24"/>
              </w:rPr>
              <w:t>第十三条 新建和改造工业项目的水资源消耗水平应达到《重庆市工业项目环境准入规定》中的准入值及行业平均值；新建和改造的能耗水平应达到《重庆市工业项目环境准入规定》中的准入值及行业平均值。</w:t>
            </w:r>
          </w:p>
        </w:tc>
      </w:tr>
    </w:tbl>
    <w:p>
      <w:pPr>
        <w:pStyle w:val="2"/>
        <w:ind w:left="0" w:leftChars="0" w:firstLine="0" w:firstLineChars="0"/>
        <w:rPr>
          <w:rFonts w:hint="eastAsia" w:ascii="Times New Roman" w:hAnsi="Times New Roman" w:eastAsia="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F07036"/>
    <w:rsid w:val="06BA32BB"/>
    <w:rsid w:val="06E00104"/>
    <w:rsid w:val="080F63D8"/>
    <w:rsid w:val="09341458"/>
    <w:rsid w:val="098254C2"/>
    <w:rsid w:val="09D97B51"/>
    <w:rsid w:val="0A766EDE"/>
    <w:rsid w:val="0AD64BE8"/>
    <w:rsid w:val="0B0912D7"/>
    <w:rsid w:val="0E025194"/>
    <w:rsid w:val="130D5900"/>
    <w:rsid w:val="152D2DCA"/>
    <w:rsid w:val="183A5F4D"/>
    <w:rsid w:val="187168EA"/>
    <w:rsid w:val="196673CA"/>
    <w:rsid w:val="1B2F4AEE"/>
    <w:rsid w:val="1CF734C9"/>
    <w:rsid w:val="1DEC284C"/>
    <w:rsid w:val="1E6523AC"/>
    <w:rsid w:val="22440422"/>
    <w:rsid w:val="22BB4BBB"/>
    <w:rsid w:val="2AEB3417"/>
    <w:rsid w:val="31A15F24"/>
    <w:rsid w:val="324A1681"/>
    <w:rsid w:val="33FA3020"/>
    <w:rsid w:val="36314CDF"/>
    <w:rsid w:val="36FB1DF0"/>
    <w:rsid w:val="389B4E03"/>
    <w:rsid w:val="395347B5"/>
    <w:rsid w:val="39A232A0"/>
    <w:rsid w:val="39E745AA"/>
    <w:rsid w:val="3B5A6BBB"/>
    <w:rsid w:val="3EDA13A6"/>
    <w:rsid w:val="417B75E9"/>
    <w:rsid w:val="42F058B7"/>
    <w:rsid w:val="436109F6"/>
    <w:rsid w:val="441A38D4"/>
    <w:rsid w:val="4504239D"/>
    <w:rsid w:val="4B244A42"/>
    <w:rsid w:val="4BC77339"/>
    <w:rsid w:val="4C9236C5"/>
    <w:rsid w:val="4CC92A6F"/>
    <w:rsid w:val="4E250A85"/>
    <w:rsid w:val="4FFD4925"/>
    <w:rsid w:val="505C172E"/>
    <w:rsid w:val="506405EA"/>
    <w:rsid w:val="52F46F0B"/>
    <w:rsid w:val="532B6A10"/>
    <w:rsid w:val="53D8014D"/>
    <w:rsid w:val="55E064E0"/>
    <w:rsid w:val="572C6D10"/>
    <w:rsid w:val="5A4F6355"/>
    <w:rsid w:val="5DC34279"/>
    <w:rsid w:val="5FCD688E"/>
    <w:rsid w:val="5FF9BDAA"/>
    <w:rsid w:val="5FFE5333"/>
    <w:rsid w:val="608816D1"/>
    <w:rsid w:val="60EF4E7F"/>
    <w:rsid w:val="648B0A32"/>
    <w:rsid w:val="665233C1"/>
    <w:rsid w:val="69AC0D42"/>
    <w:rsid w:val="6ACF52D3"/>
    <w:rsid w:val="6AD9688B"/>
    <w:rsid w:val="6D0E3F22"/>
    <w:rsid w:val="744E4660"/>
    <w:rsid w:val="74E00954"/>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pPr>
      <w:adjustRightInd w:val="0"/>
      <w:spacing w:line="275" w:lineRule="atLeast"/>
      <w:ind w:firstLine="420"/>
      <w:textAlignment w:val="baseline"/>
    </w:pPr>
    <w:rPr>
      <w:rFonts w:ascii="Times New Roman" w:cs="Times New Roman"/>
    </w:rPr>
  </w:style>
  <w:style w:type="paragraph" w:styleId="3">
    <w:name w:val="Body Text"/>
    <w:basedOn w:val="1"/>
    <w:autoRedefine/>
    <w:qFormat/>
    <w:uiPriority w:val="0"/>
    <w:pPr>
      <w:spacing w:beforeLines="150" w:afterLines="200"/>
    </w:pPr>
    <w:rPr>
      <w:rFonts w:ascii="黑体" w:hAnsi="宋体" w:eastAsia="黑体"/>
      <w:sz w:val="36"/>
    </w:rPr>
  </w:style>
  <w:style w:type="paragraph" w:styleId="6">
    <w:name w:val="annotation text"/>
    <w:basedOn w:val="1"/>
    <w:qFormat/>
    <w:uiPriority w:val="0"/>
    <w:pPr>
      <w:jc w:val="left"/>
    </w:pPr>
  </w:style>
  <w:style w:type="paragraph" w:styleId="7">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napToGrid w:val="0"/>
      <w:spacing w:line="540" w:lineRule="exact"/>
    </w:pPr>
    <w:rPr>
      <w:rFonts w:eastAsia="方正仿宋_GBK"/>
      <w:color w:val="000000"/>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Body Text 21"/>
    <w:basedOn w:val="1"/>
    <w:qFormat/>
    <w:uiPriority w:val="0"/>
    <w:pPr>
      <w:snapToGrid w:val="0"/>
      <w:spacing w:line="540" w:lineRule="exact"/>
    </w:pPr>
    <w:rPr>
      <w:rFonts w:eastAsia="方正仿宋_GBK"/>
      <w:color w:val="000000"/>
    </w:rPr>
  </w:style>
  <w:style w:type="paragraph" w:customStyle="1" w:styleId="16">
    <w:name w:val="p0"/>
    <w:basedOn w:val="1"/>
    <w:autoRedefine/>
    <w:qFormat/>
    <w:uiPriority w:val="0"/>
    <w:pPr>
      <w:widowControl/>
    </w:pPr>
    <w:rPr>
      <w:rFonts w:ascii="Calibri" w:hAnsi="Calibri" w:eastAsia="宋体" w:cs="宋体"/>
      <w:kern w:val="0"/>
      <w:szCs w:val="32"/>
    </w:rPr>
  </w:style>
  <w:style w:type="paragraph" w:customStyle="1" w:styleId="17">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8">
    <w:name w:val="正文文本 21"/>
    <w:basedOn w:val="1"/>
    <w:qFormat/>
    <w:uiPriority w:val="0"/>
    <w:pPr>
      <w:spacing w:line="540" w:lineRule="exact"/>
    </w:pPr>
    <w:rPr>
      <w:rFonts w:ascii="Times New Roman" w:hAnsi="Times New Roman" w:eastAsia="方正仿宋_GBK"/>
      <w:color w:val="000000"/>
    </w:rPr>
  </w:style>
  <w:style w:type="character" w:customStyle="1" w:styleId="19">
    <w:name w:val="NormalCharacter"/>
    <w:autoRedefine/>
    <w:qFormat/>
    <w:uiPriority w:val="0"/>
  </w:style>
  <w:style w:type="paragraph" w:customStyle="1" w:styleId="20">
    <w:name w:val="UserStyle_2"/>
    <w:basedOn w:val="1"/>
    <w:qFormat/>
    <w:uiPriority w:val="0"/>
    <w:pPr>
      <w:snapToGrid w:val="0"/>
      <w:spacing w:line="540" w:lineRule="exact"/>
      <w:jc w:val="both"/>
      <w:textAlignment w:val="baseline"/>
    </w:pPr>
    <w:rPr>
      <w:rFonts w:eastAsia="方正仿宋_GBK"/>
      <w:color w:val="000000"/>
      <w:kern w:val="2"/>
      <w:sz w:val="21"/>
      <w:szCs w:val="24"/>
      <w:lang w:val="en-US" w:eastAsia="zh-CN" w:bidi="ar-SA"/>
    </w:rPr>
  </w:style>
  <w:style w:type="paragraph" w:customStyle="1" w:styleId="21">
    <w:name w:val="Default"/>
    <w:next w:val="1"/>
    <w:qFormat/>
    <w:uiPriority w:val="0"/>
    <w:pPr>
      <w:autoSpaceDE w:val="0"/>
      <w:autoSpaceDN w:val="0"/>
      <w:adjustRightInd w:val="0"/>
    </w:pPr>
    <w:rPr>
      <w:rFonts w:hint="default" w:ascii="Arial" w:hAnsi="Arial" w:eastAsia="宋体" w:cs="Times New Roman"/>
      <w:color w:val="000000"/>
      <w:sz w:val="24"/>
      <w:szCs w:val="22"/>
      <w:lang w:val="en-US" w:eastAsia="zh-CN"/>
    </w:rPr>
  </w:style>
  <w:style w:type="paragraph" w:customStyle="1" w:styleId="22">
    <w:name w:val="表格"/>
    <w:basedOn w:val="1"/>
    <w:qFormat/>
    <w:uiPriority w:val="0"/>
    <w:pPr>
      <w:adjustRightInd w:val="0"/>
      <w:snapToGrid w:val="0"/>
      <w:spacing w:line="400" w:lineRule="exact"/>
    </w:pPr>
    <w:rPr>
      <w:rFonts w:ascii="Times New Roman" w:hAnsi="Times New Roman" w:eastAsia="Times New Roman" w:cs="Times New Roman"/>
      <w:kern w:val="0"/>
      <w:szCs w:val="20"/>
      <w:lang w:bidi="en-US"/>
    </w:rPr>
  </w:style>
  <w:style w:type="paragraph" w:customStyle="1" w:styleId="23">
    <w:name w:val="表格内容"/>
    <w:autoRedefine/>
    <w:qFormat/>
    <w:uiPriority w:val="0"/>
    <w:pPr>
      <w:widowControl w:val="0"/>
      <w:spacing w:line="0" w:lineRule="atLeast"/>
      <w:jc w:val="center"/>
    </w:pPr>
    <w:rPr>
      <w:rFonts w:ascii="宋体" w:hAnsi="宋体" w:eastAsia="仿宋"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5605</Words>
  <Characters>5707</Characters>
  <Lines>1</Lines>
  <Paragraphs>1</Paragraphs>
  <TotalTime>17</TotalTime>
  <ScaleCrop>false</ScaleCrop>
  <LinksUpToDate>false</LinksUpToDate>
  <CharactersWithSpaces>5737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2023-12-28T08:25:58Z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5BDCE8263A4D428E89E43E7FF7FB2ACE_13</vt:lpwstr>
  </property>
</Properties>
</file>