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方正仿宋_GBK" w:hAnsi="方正小标宋_GBK" w:eastAsia="方正仿宋_GBK" w:cs="方正小标宋_GBK"/>
          <w:color w:val="333333"/>
          <w:sz w:val="32"/>
          <w:szCs w:val="32"/>
          <w:shd w:val="clear" w:fill="FFFFFF"/>
          <w:lang w:val="en-US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  <w:lang w:eastAsia="zh-CN"/>
        </w:rPr>
        <w:t>重庆市南川区人民政府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fill="FFFFFF"/>
          <w:lang w:eastAsia="zh-CN"/>
        </w:rPr>
        <w:t>关于取消一批行政许可等事项的决定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bookmarkStart w:id="0" w:name="OLE_LINK1"/>
      <w:bookmarkStart w:id="1" w:name="OLE_LINK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36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</w:p>
    <w:bookmarkEnd w:id="0"/>
    <w:bookmarkEnd w:id="1"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各乡镇人民政府、街道办事处，区政府各部门，有关单位：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为贯彻落实《重庆市人民政府关于取消一批行政许可等事项的决定》（渝府发〔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2018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39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号）精神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，进一步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深化“放管服”改革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，优化全区营商环境，区政府决定取消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项行政许可等事项。</w:t>
      </w:r>
    </w:p>
    <w:p>
      <w:pPr>
        <w:pStyle w:val="7"/>
        <w:keepNext w:val="0"/>
        <w:keepLines w:val="0"/>
        <w:pageBreakBefore w:val="0"/>
        <w:widowControl/>
        <w:suppressLineNumbers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有关单位务必认真贯彻落实，不得将取消事项违法转交下属企事业单位、社会组织继续审批，不得通过拆分、合并或重组等方式以新的名义、条目替代审批，不得以事前备案等任何形式变相审批。区编办、区行管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办要按照审批服务标准化要求，及时调整更新行政许可目录以及权力清单、责任清单、网上办事大厅信息。各审批部门要做好工作衔接，强化事中事后监管，提高办事效率，加强审批服务信息公开，改进审批服务质量，方便企业和群众办事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附件：取消的行政许可等事项目录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重庆市南川区人民政府  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2018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日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  <w:t>取消的行政许可等事项目录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黑体_GBK" w:eastAsia="方正小标宋_GBK" w:cs="方正黑体_GBK"/>
          <w:kern w:val="2"/>
          <w:sz w:val="44"/>
          <w:szCs w:val="44"/>
          <w:lang w:val="en-US" w:eastAsia="zh-CN" w:bidi="ar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89"/>
        <w:gridCol w:w="2235"/>
        <w:gridCol w:w="1497"/>
        <w:gridCol w:w="918"/>
        <w:gridCol w:w="4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设定依据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审批部门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决定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黑体_GBK" w:hAnsi="宋体" w:eastAsia="方正黑体_GBK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宋体" w:eastAsia="方正黑体_GBK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加强事中事后监管措施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企业集团核准登记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《中华人民共和国企业法人登记管理条例》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区工商分局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取消审批后，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区工商分局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通过以下措施加强事中事后监管：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按照有关法规规定，严格执行在名称中使用“集团”字样的有关标准和要求。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强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化企业母公司（集团公司）的信息公示，接受社会监督。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台港澳人员在内地就业许可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《国务院对确需保留的行政审批项目设定行政许可的决定》（国务院令第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号）、《国务院关于第六批取消和调整行政审批项目的决定》（国发〔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2012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区人力社保局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审批后，区人力社保局通过以下措施加强事中事后监管：在台港澳人员就业服务、社会保障、失业登记、劳动权益保护等方面，尽快完善相关制度，将台港澳人员纳入就业创业服务体系，提供基本公共就业创业服务。依法维护台港澳人员在南就业权益，为台港澳人员在南就业营造良好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机动车维修经营许可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《中华人民共和国道路运输条例》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区交委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取消审批后，区交委通过以下措施加强事中事后监管：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建立健全机动车维修经营备案制度，及时公布相关信息。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要求机动车维修企业严格按照标准开展维修业务，维修服务完成后应提供明细单，作为车主追责依据。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加强对机动车维修行为的监管，对维修企业出现违法违规行为，依法予以处罚。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建立黑名单制度，深入推进维修诚信体系建设。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农业机械维修技术合格证核发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《农业机械安全监督管理条例》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区农委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取消审批后，区农委通过以下措施加强事中事后监管：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规范维修企业服务，引导维修企业推行承诺服务制，加强行业自律，要求维修企业提供服务明细单，作为消费者追责依据。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加强对农机维护网点维修人员技能培训，提高维修队伍能力和水平。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加大对农机维修企业的抽查检查力度，严厉处罚违法违规行为，处罚结果记入信用平台，实行联合惩戒。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畅通农机维修质量投诉渠道，有效维护消费者合法权益。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船舶进出渔港签证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《中华人民共和国渔港水域交通安全管理条例》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区农委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取消审批后，改为报告制度。区农委通过以下措施加强事中事后监管：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明确进出港报告内容，加强渔船管理，简化船舶进出港手续。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通过信息系统或渔船身份识别系统掌握进出渔港船舶状况。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15"/>
                <w:rFonts w:hint="default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加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强重点时段、重点渔船管理，伏季休渔期保证休渔地区渔船回船籍港休渔，大力整治涉渔“三无”船舶。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9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设立分公司备案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《中华人民共和国公司登记管理条例》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区工商分局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取消该事项后，区工商分局通过以下措施加强事中事后监管：建设维护信息系统，完善规章制度，及时推送、更新、掌握分公司设立信息，加强监管。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外商投资合伙企业设立、变更、注销分支机构备案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《外商投资合伙企业登记管理规定》（工商总局令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2014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年第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  <w:r>
              <w:rPr>
                <w:rStyle w:val="15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区工商分局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取消该事项后，区工商分局通过以下措施加强事中事后监管：建设维护好信息系统，完善规章制度，及时推送、更新、掌握分支机构设立、变更、注销信息，加强部门协同监管。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营业执照作废声明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《中华人民共和国公司登记管理条例》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区工商分局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取消该事项后，区工商分局采取以下管理措施加强事中事后监管：对营业执照遗失或损毁申请补领的，不再要求申请人委托媒体刊登作废声明，改为在工商部门官方网站免费发布公告。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 w:firstLineChars="200"/>
        <w:jc w:val="both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DIN Next LT Pro">
    <w:panose1 w:val="020B0503020203050203"/>
    <w:charset w:val="00"/>
    <w:family w:val="auto"/>
    <w:pitch w:val="default"/>
    <w:sig w:usb0="A00000AF" w:usb1="5000205B" w:usb2="00000000" w:usb3="00000000" w:csb0="20000093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9D97B51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1D6CF2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1032C88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link w:val="13"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页眉 Char"/>
    <w:basedOn w:val="9"/>
    <w:link w:val="5"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3">
    <w:name w:val="正文文本 2 Char"/>
    <w:basedOn w:val="9"/>
    <w:link w:val="6"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14">
    <w:name w:val="页脚 Char"/>
    <w:basedOn w:val="9"/>
    <w:link w:val="4"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15">
    <w:name w:val="font21"/>
    <w:basedOn w:val="9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799</Characters>
  <Lines>1</Lines>
  <Paragraphs>1</Paragraphs>
  <TotalTime>14</TotalTime>
  <ScaleCrop>false</ScaleCrop>
  <LinksUpToDate>false</LinksUpToDate>
  <CharactersWithSpaces>870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Lenovo-30</cp:lastModifiedBy>
  <cp:lastPrinted>2022-05-12T00:46:00Z</cp:lastPrinted>
  <dcterms:modified xsi:type="dcterms:W3CDTF">2022-06-10T02:19:12Z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445B2A4B4B334FD8B1F92286D8DEC717</vt:lpwstr>
  </property>
</Properties>
</file>