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1890"/>
        </w:tabs>
        <w:wordWrap/>
        <w:adjustRightInd/>
        <w:snapToGrid/>
        <w:spacing w:line="580" w:lineRule="exact"/>
        <w:ind w:left="0" w:leftChars="0" w:right="0" w:firstLine="0" w:firstLineChars="0"/>
        <w:jc w:val="both"/>
        <w:textAlignment w:val="auto"/>
        <w:outlineLvl w:val="9"/>
        <w:rPr>
          <w:rFonts w:hint="eastAsia" w:ascii="方正仿宋_GBK" w:hAnsi="方正仿宋_GBK" w:cs="方正仿宋_GBK"/>
          <w:sz w:val="32"/>
          <w:szCs w:val="32"/>
          <w:lang w:val="en-US" w:eastAsia="zh-CN"/>
        </w:rPr>
      </w:pPr>
      <w:r>
        <w:rPr>
          <w:rFonts w:hint="eastAsia" w:ascii="方正仿宋_GBK" w:hAnsi="方正仿宋_GBK" w:cs="方正仿宋_GBK"/>
          <w:sz w:val="32"/>
          <w:szCs w:val="32"/>
          <w:lang w:val="en-US" w:eastAsia="zh-CN"/>
        </w:rPr>
        <w:t xml:space="preserve"> </w:t>
      </w:r>
    </w:p>
    <w:tbl>
      <w:tblPr>
        <w:tblStyle w:val="9"/>
        <w:tblpPr w:leftFromText="180" w:rightFromText="180" w:vertAnchor="page" w:horzAnchor="margin" w:tblpXSpec="left" w:tblpY="2099"/>
        <w:tblW w:w="88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8" w:hRule="atLeast"/>
        </w:trPr>
        <w:tc>
          <w:tcPr>
            <w:tcW w:w="8847" w:type="dxa"/>
            <w:vAlign w:val="top"/>
          </w:tcPr>
          <w:p>
            <w:pPr>
              <w:jc w:val="center"/>
              <w:rPr>
                <w:rFonts w:ascii="方正小标宋_GBK" w:hAnsi="宋体" w:eastAsia="方正小标宋_GBK"/>
                <w:bCs/>
                <w:color w:val="FF0000"/>
                <w:sz w:val="8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8" w:hRule="atLeast"/>
        </w:trPr>
        <w:tc>
          <w:tcPr>
            <w:tcW w:w="8847" w:type="dxa"/>
            <w:tcBorders>
              <w:top w:val="nil"/>
              <w:left w:val="nil"/>
              <w:bottom w:val="single" w:color="FF0000" w:sz="12" w:space="0"/>
              <w:right w:val="nil"/>
            </w:tcBorders>
            <w:vAlign w:val="top"/>
          </w:tcPr>
          <w:p>
            <w:pPr>
              <w:spacing w:line="0" w:lineRule="atLeast"/>
              <w:jc w:val="center"/>
              <w:rPr>
                <w:rFonts w:ascii="仿宋_GB2312"/>
                <w:color w:val="000000"/>
              </w:rPr>
            </w:pPr>
          </w:p>
          <w:p>
            <w:pPr>
              <w:tabs>
                <w:tab w:val="left" w:pos="7560"/>
              </w:tabs>
              <w:snapToGrid w:val="0"/>
              <w:spacing w:line="560" w:lineRule="exact"/>
              <w:jc w:val="center"/>
              <w:rPr>
                <w:rFonts w:ascii="方正仿宋_GBK"/>
                <w:szCs w:val="32"/>
              </w:rPr>
            </w:pPr>
            <w:r>
              <w:rPr>
                <w:rFonts w:hint="eastAsia" w:ascii="方正仿宋_GBK" w:hAnsi="方正仿宋_GBK" w:eastAsia="方正仿宋_GBK" w:cs="方正仿宋_GBK"/>
                <w:bCs/>
                <w:sz w:val="32"/>
                <w:szCs w:val="32"/>
              </w:rPr>
              <w:t>南川府</w:t>
            </w:r>
            <w:r>
              <w:rPr>
                <w:rFonts w:hint="eastAsia" w:ascii="方正仿宋_GBK" w:hAnsi="方正仿宋_GBK" w:eastAsia="方正仿宋_GBK" w:cs="方正仿宋_GBK"/>
                <w:bCs/>
                <w:sz w:val="32"/>
                <w:szCs w:val="32"/>
                <w:lang w:val="en-US" w:eastAsia="zh-CN"/>
              </w:rPr>
              <w:t>办</w:t>
            </w:r>
            <w:r>
              <w:rPr>
                <w:rFonts w:hint="eastAsia" w:ascii="方正仿宋_GBK" w:hAnsi="仿宋" w:eastAsia="方正仿宋_GBK"/>
                <w:bCs/>
                <w:sz w:val="32"/>
                <w:szCs w:val="32"/>
              </w:rPr>
              <w:t>〔20</w:t>
            </w:r>
            <w:r>
              <w:rPr>
                <w:rFonts w:hint="eastAsia" w:ascii="方正仿宋_GBK" w:hAnsi="仿宋"/>
                <w:bCs/>
                <w:sz w:val="32"/>
                <w:szCs w:val="32"/>
                <w:lang w:val="en-US" w:eastAsia="zh-CN"/>
              </w:rPr>
              <w:t>21</w:t>
            </w:r>
            <w:r>
              <w:rPr>
                <w:rFonts w:hint="eastAsia" w:ascii="方正仿宋_GBK" w:hAnsi="仿宋" w:eastAsia="方正仿宋_GBK"/>
                <w:bCs/>
                <w:sz w:val="32"/>
                <w:szCs w:val="32"/>
              </w:rPr>
              <w:t>〕</w:t>
            </w:r>
            <w:r>
              <w:rPr>
                <w:rFonts w:hint="eastAsia" w:ascii="方正仿宋_GBK" w:hAnsi="仿宋"/>
                <w:bCs/>
                <w:sz w:val="32"/>
                <w:szCs w:val="32"/>
                <w:lang w:val="en-US" w:eastAsia="zh-CN"/>
              </w:rPr>
              <w:t>6</w:t>
            </w:r>
            <w:r>
              <w:rPr>
                <w:rFonts w:hint="eastAsia" w:ascii="方正仿宋_GBK" w:hAnsi="仿宋" w:eastAsia="方正仿宋_GBK"/>
                <w:bCs/>
                <w:sz w:val="32"/>
                <w:szCs w:val="32"/>
              </w:rPr>
              <w:t>号</w:t>
            </w:r>
          </w:p>
        </w:tc>
      </w:tr>
    </w:tbl>
    <w:p>
      <w:pPr>
        <w:rPr>
          <w:rFonts w:hint="eastAsia"/>
        </w:rPr>
      </w:pPr>
    </w:p>
    <w:p>
      <w:pPr>
        <w:spacing w:line="560" w:lineRule="exact"/>
        <w:jc w:val="center"/>
        <w:rPr>
          <w:rStyle w:val="31"/>
          <w:rFonts w:ascii="方正小标宋_GBK" w:hAnsi="方正小标宋_GBK" w:eastAsia="方正小标宋_GBK" w:cs="方正小标宋_GBK"/>
          <w:kern w:val="0"/>
          <w:sz w:val="44"/>
          <w:szCs w:val="44"/>
        </w:rPr>
      </w:pPr>
      <w:r>
        <w:rPr>
          <w:rStyle w:val="31"/>
          <w:rFonts w:hint="eastAsia" w:ascii="方正小标宋_GBK" w:hAnsi="方正小标宋_GBK" w:eastAsia="方正小标宋_GBK" w:cs="方正小标宋_GBK"/>
          <w:kern w:val="0"/>
          <w:sz w:val="44"/>
          <w:szCs w:val="44"/>
        </w:rPr>
        <w:t>重庆市南川区人民政府办公室</w:t>
      </w:r>
    </w:p>
    <w:p>
      <w:pPr>
        <w:spacing w:line="560" w:lineRule="exact"/>
        <w:jc w:val="center"/>
        <w:rPr>
          <w:rStyle w:val="31"/>
          <w:rFonts w:ascii="方正小标宋_GBK" w:hAnsi="方正小标宋_GBK" w:eastAsia="方正小标宋_GBK" w:cs="方正小标宋_GBK"/>
          <w:kern w:val="0"/>
          <w:sz w:val="44"/>
          <w:szCs w:val="44"/>
        </w:rPr>
      </w:pPr>
      <w:r>
        <w:rPr>
          <w:rStyle w:val="31"/>
          <w:rFonts w:ascii="方正小标宋_GBK" w:hAnsi="方正小标宋_GBK" w:eastAsia="方正小标宋_GBK" w:cs="方正小标宋_GBK"/>
          <w:kern w:val="0"/>
          <w:sz w:val="44"/>
          <w:szCs w:val="44"/>
        </w:rPr>
        <w:t>关于</w:t>
      </w:r>
      <w:r>
        <w:rPr>
          <w:rStyle w:val="31"/>
          <w:rFonts w:hint="eastAsia" w:ascii="方正小标宋_GBK" w:hAnsi="方正小标宋_GBK" w:eastAsia="方正小标宋_GBK" w:cs="方正小标宋_GBK"/>
          <w:kern w:val="0"/>
          <w:sz w:val="44"/>
          <w:szCs w:val="44"/>
        </w:rPr>
        <w:t>开展</w:t>
      </w:r>
      <w:r>
        <w:rPr>
          <w:rStyle w:val="31"/>
          <w:rFonts w:ascii="方正小标宋_GBK" w:hAnsi="方正小标宋_GBK" w:eastAsia="方正小标宋_GBK" w:cs="方正小标宋_GBK"/>
          <w:kern w:val="0"/>
          <w:sz w:val="44"/>
          <w:szCs w:val="44"/>
        </w:rPr>
        <w:t>打击</w:t>
      </w:r>
      <w:r>
        <w:rPr>
          <w:rStyle w:val="31"/>
          <w:rFonts w:hint="eastAsia" w:ascii="方正小标宋_GBK" w:hAnsi="方正小标宋_GBK" w:eastAsia="方正小标宋_GBK" w:cs="方正小标宋_GBK"/>
          <w:kern w:val="0"/>
          <w:sz w:val="44"/>
          <w:szCs w:val="44"/>
        </w:rPr>
        <w:t>矿产资源无证采矿专项</w:t>
      </w:r>
    </w:p>
    <w:p>
      <w:pPr>
        <w:spacing w:line="560" w:lineRule="exact"/>
        <w:jc w:val="center"/>
        <w:rPr>
          <w:rStyle w:val="31"/>
          <w:rFonts w:ascii="方正小标宋_GBK" w:hAnsi="方正小标宋_GBK" w:eastAsia="方正小标宋_GBK" w:cs="方正小标宋_GBK"/>
          <w:kern w:val="0"/>
          <w:sz w:val="44"/>
          <w:szCs w:val="44"/>
        </w:rPr>
      </w:pPr>
      <w:r>
        <w:rPr>
          <w:rStyle w:val="31"/>
          <w:rFonts w:hint="eastAsia" w:ascii="方正小标宋_GBK" w:hAnsi="方正小标宋_GBK" w:eastAsia="方正小标宋_GBK" w:cs="方正小标宋_GBK"/>
          <w:kern w:val="0"/>
          <w:sz w:val="44"/>
          <w:szCs w:val="44"/>
        </w:rPr>
        <w:t>整治行动</w:t>
      </w:r>
      <w:r>
        <w:rPr>
          <w:rStyle w:val="31"/>
          <w:rFonts w:hint="eastAsia" w:ascii="方正小标宋_GBK" w:eastAsia="方正小标宋_GBK"/>
          <w:sz w:val="44"/>
          <w:szCs w:val="44"/>
        </w:rPr>
        <w:t>的通知</w:t>
      </w:r>
    </w:p>
    <w:p>
      <w:pPr>
        <w:spacing w:line="560" w:lineRule="exact"/>
        <w:jc w:val="center"/>
        <w:rPr>
          <w:rStyle w:val="31"/>
          <w:rFonts w:ascii="方正小标宋_GBK" w:eastAsia="方正小标宋_GBK"/>
          <w:sz w:val="44"/>
          <w:szCs w:val="44"/>
        </w:rPr>
      </w:pPr>
    </w:p>
    <w:p>
      <w:pPr>
        <w:widowControl w:val="0"/>
        <w:wordWrap/>
        <w:adjustRightInd w:val="0"/>
        <w:snapToGrid w:val="0"/>
        <w:spacing w:line="540" w:lineRule="exact"/>
        <w:ind w:right="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各乡镇人民政府、街道办事处，区级有关部门，有关单位：</w:t>
      </w:r>
    </w:p>
    <w:p>
      <w:pPr>
        <w:widowControl w:val="0"/>
        <w:wordWrap/>
        <w:adjustRightInd w:val="0"/>
        <w:snapToGrid w:val="0"/>
        <w:spacing w:line="540" w:lineRule="exact"/>
        <w:ind w:left="0" w:leftChars="0" w:right="0"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根据《</w:t>
      </w:r>
      <w:r>
        <w:rPr>
          <w:rStyle w:val="31"/>
          <w:rFonts w:hint="default" w:ascii="Times New Roman" w:hAnsi="Times New Roman" w:eastAsia="方正仿宋_GBK" w:cs="Times New Roman"/>
          <w:color w:val="000000"/>
          <w:kern w:val="0"/>
        </w:rPr>
        <w:t>重庆市规划和自然资源局关于开展打击矿产资源无证采矿专项行动的通知</w:t>
      </w:r>
      <w:r>
        <w:rPr>
          <w:rFonts w:hint="default" w:ascii="Times New Roman" w:hAnsi="Times New Roman" w:eastAsia="方正仿宋_GBK" w:cs="Times New Roman"/>
          <w:snapToGrid w:val="0"/>
          <w:color w:val="000000"/>
          <w:kern w:val="0"/>
          <w:sz w:val="32"/>
          <w:szCs w:val="32"/>
        </w:rPr>
        <w:t>》（</w:t>
      </w:r>
      <w:r>
        <w:rPr>
          <w:rFonts w:hint="default" w:ascii="Times New Roman" w:hAnsi="Times New Roman" w:eastAsia="方正仿宋_GBK" w:cs="Times New Roman"/>
          <w:color w:val="000000"/>
          <w:sz w:val="32"/>
          <w:szCs w:val="32"/>
        </w:rPr>
        <w:t>渝规资发〔2020〕53号</w:t>
      </w:r>
      <w:r>
        <w:rPr>
          <w:rFonts w:hint="default" w:ascii="Times New Roman" w:hAnsi="Times New Roman" w:eastAsia="方正仿宋_GBK" w:cs="Times New Roman"/>
          <w:snapToGrid w:val="0"/>
          <w:color w:val="000000"/>
          <w:kern w:val="0"/>
          <w:sz w:val="32"/>
          <w:szCs w:val="32"/>
        </w:rPr>
        <w:t>）要求，经区政府同意，决定在全区开展打击矿产资源无证采矿专项整治行动。现将有关事项通知如下：</w:t>
      </w:r>
    </w:p>
    <w:p>
      <w:pPr>
        <w:widowControl w:val="0"/>
        <w:wordWrap/>
        <w:adjustRightInd w:val="0"/>
        <w:snapToGrid w:val="0"/>
        <w:spacing w:line="540" w:lineRule="exact"/>
        <w:ind w:left="0" w:leftChars="0" w:right="0" w:firstLine="640" w:firstLineChars="200"/>
        <w:textAlignment w:val="auto"/>
        <w:rPr>
          <w:rFonts w:hint="default" w:ascii="Times New Roman" w:hAnsi="Times New Roman" w:eastAsia="方正黑体_GBK" w:cs="Times New Roman"/>
          <w:snapToGrid w:val="0"/>
          <w:color w:val="000000"/>
          <w:kern w:val="0"/>
          <w:sz w:val="32"/>
          <w:szCs w:val="32"/>
        </w:rPr>
      </w:pPr>
      <w:r>
        <w:rPr>
          <w:rFonts w:hint="default" w:ascii="Times New Roman" w:hAnsi="Times New Roman" w:eastAsia="方正黑体_GBK" w:cs="Times New Roman"/>
          <w:color w:val="000000"/>
          <w:sz w:val="32"/>
          <w:szCs w:val="32"/>
        </w:rPr>
        <w:t>一、</w:t>
      </w:r>
      <w:r>
        <w:rPr>
          <w:rFonts w:hint="default" w:ascii="Times New Roman" w:hAnsi="Times New Roman" w:eastAsia="方正黑体_GBK" w:cs="Times New Roman"/>
          <w:snapToGrid w:val="0"/>
          <w:color w:val="000000"/>
          <w:kern w:val="0"/>
          <w:sz w:val="32"/>
          <w:szCs w:val="32"/>
        </w:rPr>
        <w:t>总体要求</w:t>
      </w:r>
    </w:p>
    <w:p>
      <w:pPr>
        <w:widowControl w:val="0"/>
        <w:wordWrap/>
        <w:adjustRightInd w:val="0"/>
        <w:snapToGrid w:val="0"/>
        <w:spacing w:line="540" w:lineRule="exact"/>
        <w:ind w:left="0" w:leftChars="0" w:right="0"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认真落实党中央、国务院关于安全生产决策部署，市委、市政府及区委、区政府安全生产工作要求，坚持人民至上、生命至上，牢固树立安全发展理念，提高红线意识和底线思维，严厉打击矿产资源无证采矿违法行为，切实防范自然资源领域安全风险，切实维护矿产资源国家所有权益和矿产资源开发秩序，确保矿产资源无证采矿违法行为在“第一时间发现、第一时间制止、第一时间查处”，有效避免无证采矿引发安全事故，保障人民生命财产安全，确保全区矿产资源领域安全形势持续稳定。</w:t>
      </w:r>
    </w:p>
    <w:p>
      <w:pPr>
        <w:widowControl w:val="0"/>
        <w:wordWrap/>
        <w:adjustRightInd w:val="0"/>
        <w:snapToGrid w:val="0"/>
        <w:spacing w:line="540" w:lineRule="exact"/>
        <w:ind w:left="0" w:leftChars="0" w:right="0" w:firstLine="640" w:firstLineChars="200"/>
        <w:textAlignment w:val="auto"/>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rPr>
        <w:t>二、工作时间</w:t>
      </w:r>
    </w:p>
    <w:p>
      <w:pPr>
        <w:pStyle w:val="32"/>
        <w:widowControl w:val="0"/>
        <w:wordWrap/>
        <w:adjustRightInd w:val="0"/>
        <w:snapToGrid w:val="0"/>
        <w:spacing w:line="540" w:lineRule="exact"/>
        <w:ind w:left="0" w:leftChars="0" w:right="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仿宋_GBK" w:cs="Times New Roman"/>
          <w:snapToGrid w:val="0"/>
          <w:sz w:val="32"/>
          <w:szCs w:val="32"/>
        </w:rPr>
        <w:t>2021年1月1日至6月30日，在全区范围内开展打击矿产资源无证采矿专项整治行动。</w:t>
      </w:r>
    </w:p>
    <w:p>
      <w:pPr>
        <w:widowControl w:val="0"/>
        <w:wordWrap/>
        <w:overflowPunct w:val="0"/>
        <w:adjustRightInd w:val="0"/>
        <w:snapToGrid w:val="0"/>
        <w:spacing w:line="540" w:lineRule="exact"/>
        <w:ind w:left="0" w:leftChars="0" w:right="0" w:firstLine="640" w:firstLineChars="200"/>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三、工作重点</w:t>
      </w:r>
    </w:p>
    <w:p>
      <w:pPr>
        <w:widowControl w:val="0"/>
        <w:wordWrap/>
        <w:adjustRightInd w:val="0"/>
        <w:snapToGrid w:val="0"/>
        <w:spacing w:line="540" w:lineRule="exact"/>
        <w:ind w:left="0" w:leftChars="0" w:right="0" w:firstLine="640" w:firstLineChars="200"/>
        <w:textAlignment w:val="auto"/>
        <w:rPr>
          <w:rFonts w:hint="default" w:ascii="Times New Roman" w:hAnsi="Times New Roman" w:eastAsia="方正楷体_GBK" w:cs="Times New Roman"/>
          <w:snapToGrid w:val="0"/>
          <w:color w:val="000000"/>
          <w:kern w:val="0"/>
          <w:sz w:val="32"/>
          <w:szCs w:val="32"/>
        </w:rPr>
      </w:pPr>
      <w:r>
        <w:rPr>
          <w:rFonts w:hint="default" w:ascii="Times New Roman" w:hAnsi="Times New Roman" w:eastAsia="方正楷体_GBK" w:cs="Times New Roman"/>
          <w:snapToGrid w:val="0"/>
          <w:color w:val="000000"/>
          <w:kern w:val="0"/>
          <w:sz w:val="32"/>
          <w:szCs w:val="32"/>
        </w:rPr>
        <w:t>（一）关闭及出让矿山无证采矿。</w:t>
      </w:r>
    </w:p>
    <w:p>
      <w:pPr>
        <w:widowControl w:val="0"/>
        <w:wordWrap/>
        <w:adjustRightInd w:val="0"/>
        <w:snapToGrid w:val="0"/>
        <w:spacing w:line="540" w:lineRule="exact"/>
        <w:ind w:left="0" w:leftChars="0" w:right="0" w:firstLine="640" w:firstLineChars="200"/>
        <w:textAlignment w:val="auto"/>
        <w:rPr>
          <w:rFonts w:hint="default" w:ascii="Times New Roman" w:hAnsi="Times New Roman" w:eastAsia="方正仿宋_GBK" w:cs="Times New Roman"/>
          <w:bCs/>
          <w:snapToGrid w:val="0"/>
          <w:color w:val="000000"/>
          <w:kern w:val="0"/>
          <w:sz w:val="32"/>
          <w:szCs w:val="32"/>
        </w:rPr>
      </w:pPr>
      <w:r>
        <w:rPr>
          <w:rFonts w:hint="default" w:ascii="Times New Roman" w:hAnsi="Times New Roman" w:eastAsia="方正仿宋_GBK" w:cs="Times New Roman"/>
          <w:bCs/>
          <w:snapToGrid w:val="0"/>
          <w:color w:val="000000"/>
          <w:kern w:val="0"/>
          <w:sz w:val="32"/>
          <w:szCs w:val="32"/>
        </w:rPr>
        <w:t>排查已关闭的煤矿、石灰石矿山和炸封的非法小煤窑（名单附后）“死灰复燃”情况，建立台账清单。排查正在履行出让程序（包括已缴纳采矿价款、已签订土地租用协议等）但未依法取得采矿许可证，以各种名义进行开采活动的情况，凡未取得采矿许可证进行矿产资源开采活动，一律认定为无证采矿。</w:t>
      </w:r>
    </w:p>
    <w:p>
      <w:pPr>
        <w:widowControl w:val="0"/>
        <w:wordWrap/>
        <w:adjustRightInd w:val="0"/>
        <w:snapToGrid w:val="0"/>
        <w:spacing w:line="540" w:lineRule="exact"/>
        <w:ind w:left="0" w:leftChars="0" w:right="0" w:firstLine="640" w:firstLineChars="200"/>
        <w:textAlignment w:val="auto"/>
        <w:rPr>
          <w:rFonts w:hint="default" w:ascii="Times New Roman" w:hAnsi="Times New Roman" w:eastAsia="方正楷体_GBK" w:cs="Times New Roman"/>
          <w:snapToGrid w:val="0"/>
          <w:color w:val="000000"/>
          <w:kern w:val="0"/>
          <w:sz w:val="32"/>
          <w:szCs w:val="32"/>
          <w:lang w:val="zh-CN"/>
        </w:rPr>
      </w:pPr>
      <w:r>
        <w:rPr>
          <w:rFonts w:hint="default" w:ascii="Times New Roman" w:hAnsi="Times New Roman" w:eastAsia="方正楷体_GBK" w:cs="Times New Roman"/>
          <w:snapToGrid w:val="0"/>
          <w:color w:val="000000"/>
          <w:kern w:val="0"/>
          <w:sz w:val="32"/>
          <w:szCs w:val="32"/>
        </w:rPr>
        <w:t>（二）</w:t>
      </w:r>
      <w:r>
        <w:rPr>
          <w:rFonts w:hint="default" w:ascii="Times New Roman" w:hAnsi="Times New Roman" w:eastAsia="方正楷体_GBK" w:cs="Times New Roman"/>
          <w:snapToGrid w:val="0"/>
          <w:color w:val="000000"/>
          <w:kern w:val="0"/>
          <w:sz w:val="32"/>
          <w:szCs w:val="32"/>
          <w:lang w:val="zh-CN"/>
        </w:rPr>
        <w:t>生态修复矿山无证采矿。</w:t>
      </w:r>
    </w:p>
    <w:p>
      <w:pPr>
        <w:widowControl w:val="0"/>
        <w:wordWrap/>
        <w:adjustRightInd w:val="0"/>
        <w:snapToGrid w:val="0"/>
        <w:spacing w:line="540" w:lineRule="exact"/>
        <w:ind w:left="0" w:leftChars="0" w:right="0"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lang w:val="zh-CN"/>
        </w:rPr>
        <w:t>以重庆市规划和自然资源局批准的生态修复方案为评判唯一标准，对正在开展生态修复的矿山逐一开展排查。无批准的生态修复方案或虽有方案但未按照方案实施，以生态修复的名义进行采矿活动的，认定为无证采矿行为。</w:t>
      </w:r>
    </w:p>
    <w:p>
      <w:pPr>
        <w:widowControl w:val="0"/>
        <w:wordWrap/>
        <w:adjustRightInd w:val="0"/>
        <w:snapToGrid w:val="0"/>
        <w:spacing w:line="540" w:lineRule="exact"/>
        <w:ind w:left="0" w:leftChars="0" w:right="0" w:firstLine="640" w:firstLineChars="200"/>
        <w:textAlignment w:val="auto"/>
        <w:rPr>
          <w:rFonts w:hint="default" w:ascii="Times New Roman" w:hAnsi="Times New Roman" w:eastAsia="方正楷体_GBK" w:cs="Times New Roman"/>
          <w:snapToGrid w:val="0"/>
          <w:color w:val="000000"/>
          <w:kern w:val="0"/>
          <w:sz w:val="32"/>
          <w:szCs w:val="32"/>
        </w:rPr>
      </w:pPr>
      <w:r>
        <w:rPr>
          <w:rFonts w:hint="default" w:ascii="Times New Roman" w:hAnsi="Times New Roman" w:eastAsia="方正楷体_GBK" w:cs="Times New Roman"/>
          <w:snapToGrid w:val="0"/>
          <w:color w:val="000000"/>
          <w:kern w:val="0"/>
          <w:sz w:val="32"/>
          <w:szCs w:val="32"/>
        </w:rPr>
        <w:t>（三）工程“矿山”无证采矿。</w:t>
      </w:r>
    </w:p>
    <w:p>
      <w:pPr>
        <w:widowControl w:val="0"/>
        <w:wordWrap/>
        <w:adjustRightInd w:val="0"/>
        <w:snapToGrid w:val="0"/>
        <w:spacing w:line="540" w:lineRule="exact"/>
        <w:ind w:left="0" w:leftChars="0" w:right="0" w:firstLine="640" w:firstLineChars="200"/>
        <w:textAlignment w:val="auto"/>
        <w:rPr>
          <w:rFonts w:hint="default" w:ascii="Times New Roman" w:hAnsi="Times New Roman" w:eastAsia="方正仿宋_GBK" w:cs="Times New Roman"/>
          <w:bCs/>
          <w:snapToGrid w:val="0"/>
          <w:color w:val="000000"/>
          <w:kern w:val="0"/>
          <w:sz w:val="32"/>
          <w:szCs w:val="32"/>
        </w:rPr>
      </w:pPr>
      <w:r>
        <w:rPr>
          <w:rFonts w:hint="default" w:ascii="Times New Roman" w:hAnsi="Times New Roman" w:eastAsia="方正仿宋_GBK" w:cs="Times New Roman"/>
          <w:bCs/>
          <w:snapToGrid w:val="0"/>
          <w:color w:val="000000"/>
          <w:kern w:val="0"/>
          <w:sz w:val="32"/>
          <w:szCs w:val="32"/>
        </w:rPr>
        <w:t>凡以工程建设为唯一目的，已取得立项批准文件并在建设项目批准用地红线范围内进行矿产资源开采活动，矿产品为工程建设附属品，认定为工程“矿山”。凡不符合国家及重庆市有关工程施工采挖砂、石、土相关规定，以“工程建设”名义开采矿产资源自行销售或处置的，认定为工程“矿山”无证采矿行为。重点排查工业园区、新城区、商贸物流园区各类平场整治项目，高速公路、高速铁路和水利工程建设项目非法动用砂石土等情况。</w:t>
      </w:r>
    </w:p>
    <w:p>
      <w:pPr>
        <w:widowControl w:val="0"/>
        <w:wordWrap/>
        <w:adjustRightInd w:val="0"/>
        <w:snapToGrid w:val="0"/>
        <w:spacing w:line="540" w:lineRule="exact"/>
        <w:ind w:left="0" w:leftChars="0" w:right="0" w:firstLine="640" w:firstLineChars="200"/>
        <w:textAlignment w:val="auto"/>
        <w:rPr>
          <w:rFonts w:hint="default" w:ascii="Times New Roman" w:hAnsi="Times New Roman" w:eastAsia="方正楷体_GBK" w:cs="Times New Roman"/>
          <w:snapToGrid w:val="0"/>
          <w:color w:val="000000"/>
          <w:kern w:val="0"/>
          <w:sz w:val="32"/>
          <w:szCs w:val="32"/>
        </w:rPr>
      </w:pPr>
      <w:r>
        <w:rPr>
          <w:rFonts w:hint="default" w:ascii="Times New Roman" w:hAnsi="Times New Roman" w:eastAsia="方正楷体_GBK" w:cs="Times New Roman"/>
          <w:snapToGrid w:val="0"/>
          <w:color w:val="000000"/>
          <w:kern w:val="0"/>
          <w:sz w:val="32"/>
          <w:szCs w:val="32"/>
        </w:rPr>
        <w:t>（四）干线交通沿线无证采矿。</w:t>
      </w:r>
    </w:p>
    <w:p>
      <w:pPr>
        <w:widowControl w:val="0"/>
        <w:wordWrap/>
        <w:adjustRightInd w:val="0"/>
        <w:snapToGrid w:val="0"/>
        <w:spacing w:line="540" w:lineRule="exact"/>
        <w:ind w:left="0" w:leftChars="0" w:right="0"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重点排查区内高速公路、铁路、国省道交通沿线1公里范围的无证采矿情况，弃土弃渣及废石堆放情况，对干线交通安全构成威胁等情况。</w:t>
      </w:r>
    </w:p>
    <w:p>
      <w:pPr>
        <w:widowControl w:val="0"/>
        <w:wordWrap/>
        <w:adjustRightInd w:val="0"/>
        <w:snapToGrid w:val="0"/>
        <w:spacing w:line="540" w:lineRule="exact"/>
        <w:ind w:left="0" w:leftChars="0" w:right="0" w:firstLine="640" w:firstLineChars="200"/>
        <w:textAlignment w:val="auto"/>
        <w:rPr>
          <w:rFonts w:hint="default" w:ascii="Times New Roman" w:hAnsi="Times New Roman" w:eastAsia="方正楷体_GBK" w:cs="Times New Roman"/>
          <w:snapToGrid w:val="0"/>
          <w:color w:val="000000"/>
          <w:kern w:val="0"/>
          <w:sz w:val="32"/>
          <w:szCs w:val="32"/>
        </w:rPr>
      </w:pPr>
      <w:r>
        <w:rPr>
          <w:rFonts w:hint="default" w:ascii="Times New Roman" w:hAnsi="Times New Roman" w:eastAsia="方正楷体_GBK" w:cs="Times New Roman"/>
          <w:snapToGrid w:val="0"/>
          <w:color w:val="000000"/>
          <w:kern w:val="0"/>
          <w:sz w:val="32"/>
          <w:szCs w:val="32"/>
        </w:rPr>
        <w:t>（五）其它无证采矿。</w:t>
      </w:r>
    </w:p>
    <w:p>
      <w:pPr>
        <w:widowControl w:val="0"/>
        <w:wordWrap/>
        <w:adjustRightInd w:val="0"/>
        <w:snapToGrid w:val="0"/>
        <w:spacing w:line="540" w:lineRule="exact"/>
        <w:ind w:left="0" w:leftChars="0" w:right="0"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主要排查区内其他无证采矿活动。</w:t>
      </w:r>
    </w:p>
    <w:p>
      <w:pPr>
        <w:widowControl w:val="0"/>
        <w:wordWrap/>
        <w:adjustRightInd w:val="0"/>
        <w:snapToGrid w:val="0"/>
        <w:spacing w:line="540" w:lineRule="exact"/>
        <w:ind w:left="0" w:leftChars="0" w:right="0" w:firstLine="640" w:firstLineChars="200"/>
        <w:textAlignment w:val="auto"/>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rPr>
        <w:t>四、工作步骤</w:t>
      </w:r>
    </w:p>
    <w:p>
      <w:pPr>
        <w:widowControl w:val="0"/>
        <w:wordWrap/>
        <w:adjustRightInd w:val="0"/>
        <w:snapToGrid w:val="0"/>
        <w:spacing w:line="540" w:lineRule="exact"/>
        <w:ind w:left="0" w:leftChars="0" w:right="0" w:firstLine="640" w:firstLineChars="200"/>
        <w:textAlignment w:val="auto"/>
        <w:rPr>
          <w:rFonts w:hint="default" w:ascii="Times New Roman" w:hAnsi="Times New Roman" w:eastAsia="方正楷体_GBK" w:cs="Times New Roman"/>
          <w:snapToGrid w:val="0"/>
          <w:color w:val="000000"/>
          <w:kern w:val="0"/>
          <w:sz w:val="32"/>
          <w:szCs w:val="32"/>
        </w:rPr>
      </w:pPr>
      <w:r>
        <w:rPr>
          <w:rFonts w:hint="default" w:ascii="Times New Roman" w:hAnsi="Times New Roman" w:eastAsia="方正楷体_GBK" w:cs="Times New Roman"/>
          <w:snapToGrid w:val="0"/>
          <w:color w:val="000000"/>
          <w:kern w:val="0"/>
          <w:sz w:val="32"/>
          <w:szCs w:val="32"/>
        </w:rPr>
        <w:t>（一）宣传发动阶段（1月1日至2月18日）。</w:t>
      </w:r>
    </w:p>
    <w:p>
      <w:pPr>
        <w:widowControl w:val="0"/>
        <w:wordWrap/>
        <w:adjustRightInd w:val="0"/>
        <w:snapToGrid w:val="0"/>
        <w:spacing w:line="540" w:lineRule="exact"/>
        <w:ind w:left="0" w:leftChars="0" w:right="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利用广播、电视、报纸、宣传单（栏）等各种有效形式，广泛深入宣传矿产资源法律、法规、政策，掀起声势浩大的整治高潮，形成高压态势。</w:t>
      </w:r>
    </w:p>
    <w:p>
      <w:pPr>
        <w:widowControl w:val="0"/>
        <w:wordWrap/>
        <w:adjustRightInd w:val="0"/>
        <w:snapToGrid w:val="0"/>
        <w:spacing w:line="540" w:lineRule="exact"/>
        <w:ind w:left="0" w:leftChars="0" w:right="0" w:firstLine="640" w:firstLineChars="200"/>
        <w:textAlignment w:val="auto"/>
        <w:rPr>
          <w:rFonts w:hint="default" w:ascii="Times New Roman" w:hAnsi="Times New Roman" w:eastAsia="方正楷体_GBK" w:cs="Times New Roman"/>
          <w:snapToGrid w:val="0"/>
          <w:color w:val="000000"/>
          <w:kern w:val="0"/>
          <w:sz w:val="32"/>
          <w:szCs w:val="32"/>
        </w:rPr>
      </w:pPr>
      <w:r>
        <w:rPr>
          <w:rFonts w:hint="default" w:ascii="Times New Roman" w:hAnsi="Times New Roman" w:eastAsia="方正楷体_GBK" w:cs="Times New Roman"/>
          <w:snapToGrid w:val="0"/>
          <w:color w:val="000000"/>
          <w:kern w:val="0"/>
          <w:sz w:val="32"/>
          <w:szCs w:val="32"/>
        </w:rPr>
        <w:t>（二）排查清理阶段（2月1</w:t>
      </w:r>
      <w:r>
        <w:rPr>
          <w:rFonts w:hint="eastAsia" w:eastAsia="方正楷体_GBK" w:cs="Times New Roman"/>
          <w:snapToGrid w:val="0"/>
          <w:color w:val="000000"/>
          <w:kern w:val="0"/>
          <w:sz w:val="32"/>
          <w:szCs w:val="32"/>
          <w:lang w:val="en-US" w:eastAsia="zh-CN"/>
        </w:rPr>
        <w:t>9</w:t>
      </w:r>
      <w:r>
        <w:rPr>
          <w:rFonts w:hint="default" w:ascii="Times New Roman" w:hAnsi="Times New Roman" w:eastAsia="方正楷体_GBK" w:cs="Times New Roman"/>
          <w:snapToGrid w:val="0"/>
          <w:color w:val="000000"/>
          <w:kern w:val="0"/>
          <w:sz w:val="32"/>
          <w:szCs w:val="32"/>
        </w:rPr>
        <w:t>日至3月31日）。</w:t>
      </w:r>
    </w:p>
    <w:p>
      <w:pPr>
        <w:pStyle w:val="32"/>
        <w:widowControl w:val="0"/>
        <w:wordWrap/>
        <w:adjustRightInd w:val="0"/>
        <w:snapToGrid w:val="0"/>
        <w:spacing w:line="540" w:lineRule="exact"/>
        <w:ind w:left="0" w:leftChars="0" w:right="0" w:firstLine="640" w:firstLineChars="20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各乡镇街道、区级有关部门结合职能职责，围绕工作重点，在各自辖区和领域，启动矿产资源无证采矿专项整治，开展拉网式排查清理，做好排查记录台账登记。</w:t>
      </w:r>
    </w:p>
    <w:p>
      <w:pPr>
        <w:widowControl w:val="0"/>
        <w:wordWrap/>
        <w:adjustRightInd w:val="0"/>
        <w:snapToGrid w:val="0"/>
        <w:spacing w:line="540" w:lineRule="exact"/>
        <w:ind w:left="0" w:leftChars="0" w:right="0" w:firstLine="640" w:firstLineChars="200"/>
        <w:textAlignment w:val="auto"/>
        <w:rPr>
          <w:rFonts w:hint="default" w:ascii="Times New Roman" w:hAnsi="Times New Roman" w:eastAsia="方正楷体_GBK" w:cs="Times New Roman"/>
          <w:snapToGrid w:val="0"/>
          <w:color w:val="000000"/>
          <w:kern w:val="0"/>
          <w:sz w:val="32"/>
          <w:szCs w:val="32"/>
        </w:rPr>
      </w:pPr>
      <w:r>
        <w:rPr>
          <w:rFonts w:hint="default" w:ascii="Times New Roman" w:hAnsi="Times New Roman" w:eastAsia="方正楷体_GBK" w:cs="Times New Roman"/>
          <w:snapToGrid w:val="0"/>
          <w:color w:val="000000"/>
          <w:kern w:val="0"/>
          <w:sz w:val="32"/>
          <w:szCs w:val="32"/>
        </w:rPr>
        <w:t>（三）整治关闭阶段（4月1日至6月10日）。</w:t>
      </w:r>
    </w:p>
    <w:p>
      <w:pPr>
        <w:pStyle w:val="32"/>
        <w:widowControl w:val="0"/>
        <w:wordWrap/>
        <w:adjustRightInd w:val="0"/>
        <w:snapToGrid w:val="0"/>
        <w:spacing w:line="540" w:lineRule="exact"/>
        <w:ind w:left="0" w:leftChars="0" w:right="0" w:firstLine="640" w:firstLineChars="20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自然资源、应急、公安、经信、林业、环保、电力等相关部门开展联合执法，对所有无证采矿非法采矿点全面取缔、关闭；对顶风作案、屡关屡开的非法违法采矿案件从严、从重、从快查处；对符合移送条件的案件及时移送司法机关追究刑事责任。</w:t>
      </w:r>
    </w:p>
    <w:p>
      <w:pPr>
        <w:widowControl w:val="0"/>
        <w:wordWrap/>
        <w:adjustRightInd w:val="0"/>
        <w:snapToGrid w:val="0"/>
        <w:spacing w:line="540" w:lineRule="exact"/>
        <w:ind w:left="0" w:leftChars="0" w:right="0" w:firstLine="640" w:firstLineChars="200"/>
        <w:textAlignment w:val="auto"/>
        <w:rPr>
          <w:rFonts w:hint="default" w:ascii="Times New Roman" w:hAnsi="Times New Roman" w:eastAsia="方正楷体_GBK" w:cs="Times New Roman"/>
          <w:snapToGrid w:val="0"/>
          <w:color w:val="000000"/>
          <w:kern w:val="0"/>
          <w:sz w:val="32"/>
          <w:szCs w:val="32"/>
        </w:rPr>
      </w:pPr>
      <w:r>
        <w:rPr>
          <w:rFonts w:hint="default" w:ascii="Times New Roman" w:hAnsi="Times New Roman" w:eastAsia="方正楷体_GBK" w:cs="Times New Roman"/>
          <w:snapToGrid w:val="0"/>
          <w:color w:val="000000"/>
          <w:kern w:val="0"/>
          <w:sz w:val="32"/>
          <w:szCs w:val="32"/>
        </w:rPr>
        <w:t>（四）建章立制阶段（6月11日至6月30）。</w:t>
      </w:r>
    </w:p>
    <w:p>
      <w:pPr>
        <w:pStyle w:val="32"/>
        <w:widowControl w:val="0"/>
        <w:wordWrap/>
        <w:adjustRightInd w:val="0"/>
        <w:snapToGrid w:val="0"/>
        <w:spacing w:line="540" w:lineRule="exact"/>
        <w:ind w:left="0" w:leftChars="0" w:right="0" w:firstLine="640" w:firstLineChars="200"/>
        <w:jc w:val="both"/>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组织检查组对各</w:t>
      </w:r>
      <w:r>
        <w:rPr>
          <w:rFonts w:hint="default" w:ascii="Times New Roman" w:hAnsi="Times New Roman" w:eastAsia="方正仿宋_GBK" w:cs="Times New Roman"/>
          <w:bCs/>
          <w:sz w:val="32"/>
          <w:szCs w:val="32"/>
        </w:rPr>
        <w:t>乡镇（街道）、区级</w:t>
      </w:r>
      <w:r>
        <w:rPr>
          <w:rFonts w:hint="default" w:ascii="Times New Roman" w:hAnsi="Times New Roman" w:eastAsia="方正仿宋_GBK" w:cs="Times New Roman"/>
          <w:snapToGrid w:val="0"/>
          <w:color w:val="000000"/>
          <w:sz w:val="32"/>
          <w:szCs w:val="32"/>
        </w:rPr>
        <w:t>有关部门专项整治行动开展情况及成效进行检查。完善监管长效机制，巩固、深化打击矿产资源无证采矿工作成果。</w:t>
      </w:r>
    </w:p>
    <w:p>
      <w:pPr>
        <w:pStyle w:val="32"/>
        <w:widowControl w:val="0"/>
        <w:wordWrap/>
        <w:adjustRightInd w:val="0"/>
        <w:snapToGrid w:val="0"/>
        <w:spacing w:line="540" w:lineRule="exact"/>
        <w:ind w:left="0" w:leftChars="0" w:right="0" w:firstLine="640" w:firstLineChars="200"/>
        <w:jc w:val="both"/>
        <w:textAlignment w:val="auto"/>
        <w:rPr>
          <w:rFonts w:hint="default" w:ascii="Times New Roman" w:hAnsi="Times New Roman" w:eastAsia="方正黑体_GBK" w:cs="Times New Roman"/>
          <w:snapToGrid w:val="0"/>
          <w:color w:val="000000"/>
          <w:sz w:val="32"/>
          <w:szCs w:val="32"/>
        </w:rPr>
      </w:pPr>
      <w:r>
        <w:rPr>
          <w:rFonts w:hint="default" w:ascii="Times New Roman" w:hAnsi="Times New Roman" w:eastAsia="方正黑体_GBK" w:cs="Times New Roman"/>
          <w:snapToGrid w:val="0"/>
          <w:color w:val="000000"/>
          <w:sz w:val="32"/>
          <w:szCs w:val="32"/>
        </w:rPr>
        <w:t>五、工作职责</w:t>
      </w:r>
    </w:p>
    <w:p>
      <w:pPr>
        <w:widowControl w:val="0"/>
        <w:wordWrap/>
        <w:adjustRightInd w:val="0"/>
        <w:snapToGrid w:val="0"/>
        <w:spacing w:line="540" w:lineRule="exact"/>
        <w:ind w:left="0" w:leftChars="0" w:right="0" w:firstLine="640" w:firstLineChars="200"/>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区规划自然资源局：负责牵头对石料储存点、加工点进行排查，对未取得用地手续的予以关闭处置；负责对巡查发现和乡镇（街道）、工业园区各组团和区属投融资公司等有关单位报告的无证非法采矿行为依法予以严肃查处；对符合移送条件的违法案件，要及时移送</w:t>
      </w:r>
      <w:r>
        <w:rPr>
          <w:rFonts w:hint="eastAsia" w:cs="Times New Roman"/>
          <w:bCs/>
          <w:color w:val="000000"/>
          <w:sz w:val="32"/>
          <w:szCs w:val="32"/>
          <w:lang w:eastAsia="zh-CN"/>
        </w:rPr>
        <w:t>司法</w:t>
      </w:r>
      <w:r>
        <w:rPr>
          <w:rFonts w:hint="default" w:ascii="Times New Roman" w:hAnsi="Times New Roman" w:eastAsia="方正仿宋_GBK" w:cs="Times New Roman"/>
          <w:bCs/>
          <w:color w:val="000000"/>
          <w:sz w:val="32"/>
          <w:szCs w:val="32"/>
        </w:rPr>
        <w:t>机关追究刑事责任。对非法采矿案件查处中发现乡镇和部门工作人员有失察失职行为的，及时报送纪检监察机关追究纪律责任。</w:t>
      </w:r>
    </w:p>
    <w:p>
      <w:pPr>
        <w:widowControl w:val="0"/>
        <w:wordWrap/>
        <w:adjustRightInd w:val="0"/>
        <w:snapToGrid w:val="0"/>
        <w:spacing w:line="540" w:lineRule="exact"/>
        <w:ind w:left="0" w:leftChars="0" w:right="0" w:firstLine="640" w:firstLineChars="200"/>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区公安局：负责加强各类工程建设项目和矿山火工产品监督管理，严格民爆物品管理，严厉打击涉爆违法犯罪行为，全力收缴流散社会的爆炸物品并查清其来源。对区规划和自然资源局等单位移送的触犯刑法的非法采矿案件依法予以严厉打击。同时，对阻碍相关行政机关工作人员依法执行职务的，依法经予治安处罚，构成犯罪的，依法追究刑事责任。</w:t>
      </w:r>
    </w:p>
    <w:p>
      <w:pPr>
        <w:pStyle w:val="4"/>
        <w:widowControl w:val="0"/>
        <w:numPr>
          <w:ilvl w:val="3"/>
          <w:numId w:val="0"/>
        </w:numPr>
        <w:wordWrap/>
        <w:adjustRightInd w:val="0"/>
        <w:snapToGrid w:val="0"/>
        <w:spacing w:line="540" w:lineRule="exact"/>
        <w:ind w:left="0" w:leftChars="0" w:right="0" w:firstLine="640" w:firstLineChars="200"/>
        <w:textAlignment w:val="auto"/>
        <w:rPr>
          <w:rFonts w:hint="default" w:ascii="Times New Roman" w:hAnsi="Times New Roman" w:cs="Times New Roman"/>
          <w:color w:val="000000"/>
          <w:lang w:val="en-US"/>
        </w:rPr>
      </w:pPr>
      <w:r>
        <w:rPr>
          <w:rFonts w:hint="default" w:ascii="Times New Roman" w:hAnsi="Times New Roman" w:cs="Times New Roman"/>
          <w:color w:val="000000"/>
          <w:lang w:val="en-US"/>
        </w:rPr>
        <w:t>区应急管理局：负责合法矿山安全监管；牵头组织对非法小煤窑的打击工作；配合区规划和自然资源局开展对石料储存点、加工点进行排查，对不符合安全生产条件的，予以关闭处置。</w:t>
      </w:r>
    </w:p>
    <w:p>
      <w:pPr>
        <w:pStyle w:val="4"/>
        <w:widowControl w:val="0"/>
        <w:numPr>
          <w:ilvl w:val="3"/>
          <w:numId w:val="0"/>
        </w:numPr>
        <w:wordWrap/>
        <w:adjustRightInd w:val="0"/>
        <w:snapToGrid w:val="0"/>
        <w:spacing w:line="540" w:lineRule="exact"/>
        <w:ind w:left="0" w:leftChars="0" w:right="0" w:firstLine="640" w:firstLineChars="200"/>
        <w:textAlignment w:val="auto"/>
        <w:rPr>
          <w:rFonts w:hint="default" w:ascii="Times New Roman" w:hAnsi="Times New Roman" w:cs="Times New Roman"/>
          <w:color w:val="000000"/>
          <w:lang w:val="en-US"/>
        </w:rPr>
      </w:pPr>
      <w:r>
        <w:rPr>
          <w:rFonts w:hint="default" w:ascii="Times New Roman" w:hAnsi="Times New Roman" w:cs="Times New Roman"/>
          <w:color w:val="000000"/>
          <w:lang w:val="en-US"/>
        </w:rPr>
        <w:t>区生态环境局：对因非法无证采矿行为造成的自然资源环境污染等违法行为的案件，依法进行立案查处。对涉嫌犯罪的，及时移送公安机关；配合区规划和自然资源局对未取得环评手续的，予以关闭处置。</w:t>
      </w:r>
    </w:p>
    <w:p>
      <w:pPr>
        <w:pStyle w:val="4"/>
        <w:widowControl w:val="0"/>
        <w:numPr>
          <w:ilvl w:val="3"/>
          <w:numId w:val="0"/>
        </w:numPr>
        <w:wordWrap/>
        <w:adjustRightInd w:val="0"/>
        <w:snapToGrid w:val="0"/>
        <w:spacing w:line="540" w:lineRule="exact"/>
        <w:ind w:left="0" w:leftChars="0" w:right="0" w:firstLine="640" w:firstLineChars="200"/>
        <w:textAlignment w:val="auto"/>
        <w:rPr>
          <w:rFonts w:hint="default" w:ascii="Times New Roman" w:hAnsi="Times New Roman" w:cs="Times New Roman"/>
          <w:color w:val="000000"/>
        </w:rPr>
      </w:pPr>
      <w:r>
        <w:rPr>
          <w:rFonts w:hint="default" w:ascii="Times New Roman" w:hAnsi="Times New Roman" w:cs="Times New Roman"/>
          <w:color w:val="000000"/>
          <w:lang w:val="en-US"/>
        </w:rPr>
        <w:t>区经济信息委：负责协调区供电部门严把矿山电力供应，对非法转供电的矿山和单位严肃查处；对违规架设的供变电线路，责令限期拆除；对</w:t>
      </w:r>
      <w:r>
        <w:rPr>
          <w:rFonts w:hint="default" w:ascii="Times New Roman" w:hAnsi="Times New Roman" w:cs="Times New Roman"/>
          <w:color w:val="000000"/>
        </w:rPr>
        <w:t>为无证非法矿山供电的，及时切断上网线路。</w:t>
      </w:r>
    </w:p>
    <w:p>
      <w:pPr>
        <w:widowControl w:val="0"/>
        <w:wordWrap/>
        <w:adjustRightInd w:val="0"/>
        <w:snapToGrid w:val="0"/>
        <w:spacing w:line="54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000000"/>
          <w:sz w:val="32"/>
          <w:szCs w:val="32"/>
        </w:rPr>
        <w:t>区市场监管局：配合区规划和自然资源局开展对石料储存点、加工点的排查；</w:t>
      </w:r>
      <w:r>
        <w:rPr>
          <w:rFonts w:hint="default" w:ascii="Times New Roman" w:hAnsi="Times New Roman" w:eastAsia="方正仿宋_GBK" w:cs="Times New Roman"/>
          <w:sz w:val="32"/>
          <w:szCs w:val="32"/>
        </w:rPr>
        <w:t>对经营者未取得营业执照从事石料、煤炭收储、加工以及明知属于无照经营而为经营者提供经营场所，或者提供运输、保管、仓储等条件的市场主体进行查处。依法将关闭企业（南川区关闭矿山名单）的营业执照注销或变更登记事项。</w:t>
      </w:r>
    </w:p>
    <w:p>
      <w:pPr>
        <w:widowControl w:val="0"/>
        <w:wordWrap/>
        <w:adjustRightInd w:val="0"/>
        <w:snapToGrid w:val="0"/>
        <w:spacing w:line="540" w:lineRule="exact"/>
        <w:ind w:left="0" w:leftChars="0" w:right="0"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bCs/>
          <w:color w:val="000000"/>
          <w:sz w:val="32"/>
          <w:szCs w:val="32"/>
        </w:rPr>
        <w:t>区交通局：负责</w:t>
      </w:r>
      <w:r>
        <w:rPr>
          <w:rFonts w:hint="default" w:ascii="Times New Roman" w:hAnsi="Times New Roman" w:eastAsia="方正仿宋_GBK" w:cs="Times New Roman"/>
          <w:snapToGrid w:val="0"/>
          <w:color w:val="000000"/>
          <w:kern w:val="0"/>
          <w:sz w:val="32"/>
          <w:szCs w:val="32"/>
        </w:rPr>
        <w:t>区内高速公路、铁路、高速铁路交通沿线1Km范围内无证采矿、弃土弃渣及废石堆放情况以及对干线交通安全构成威胁等情况的监督和管理，加强矿产品运输车辆检查。</w:t>
      </w:r>
    </w:p>
    <w:p>
      <w:pPr>
        <w:pStyle w:val="4"/>
        <w:widowControl w:val="0"/>
        <w:numPr>
          <w:ilvl w:val="3"/>
          <w:numId w:val="0"/>
        </w:numPr>
        <w:wordWrap/>
        <w:adjustRightInd w:val="0"/>
        <w:snapToGrid w:val="0"/>
        <w:spacing w:line="540" w:lineRule="exact"/>
        <w:ind w:left="0" w:leftChars="0" w:right="0" w:firstLine="640" w:firstLineChars="200"/>
        <w:textAlignment w:val="auto"/>
        <w:rPr>
          <w:rFonts w:hint="default" w:ascii="Times New Roman" w:hAnsi="Times New Roman" w:cs="Times New Roman"/>
          <w:snapToGrid w:val="0"/>
          <w:color w:val="000000"/>
          <w:kern w:val="0"/>
          <w:lang w:val="en-US"/>
        </w:rPr>
      </w:pPr>
      <w:r>
        <w:rPr>
          <w:rFonts w:hint="default" w:ascii="Times New Roman" w:hAnsi="Times New Roman" w:cs="Times New Roman"/>
          <w:snapToGrid w:val="0"/>
          <w:color w:val="000000"/>
          <w:kern w:val="0"/>
          <w:lang w:val="en-US"/>
        </w:rPr>
        <w:t>区城市管理局：负责严格城区和各园区渣车管理，禁止各类运输矿产品车辆进入未经规划和自然资源局牵头联合认定核实的加工点和储存点。</w:t>
      </w:r>
    </w:p>
    <w:p>
      <w:pPr>
        <w:pStyle w:val="4"/>
        <w:widowControl w:val="0"/>
        <w:numPr>
          <w:ilvl w:val="3"/>
          <w:numId w:val="0"/>
        </w:numPr>
        <w:wordWrap/>
        <w:adjustRightInd w:val="0"/>
        <w:snapToGrid w:val="0"/>
        <w:spacing w:line="540" w:lineRule="exact"/>
        <w:ind w:left="0" w:leftChars="0" w:right="0" w:firstLine="640" w:firstLineChars="200"/>
        <w:textAlignment w:val="auto"/>
        <w:rPr>
          <w:rFonts w:hint="default" w:ascii="Times New Roman" w:hAnsi="Times New Roman" w:cs="Times New Roman"/>
          <w:snapToGrid w:val="0"/>
          <w:color w:val="000000"/>
          <w:kern w:val="0"/>
          <w:lang w:val="en-US"/>
        </w:rPr>
      </w:pPr>
      <w:r>
        <w:rPr>
          <w:rFonts w:hint="default" w:ascii="Times New Roman" w:hAnsi="Times New Roman" w:cs="Times New Roman"/>
          <w:snapToGrid w:val="0"/>
          <w:color w:val="000000"/>
          <w:kern w:val="0"/>
          <w:lang w:val="en-US"/>
        </w:rPr>
        <w:t>区林业局：负责对非法占用林地实施采矿行为的查处和打击，特别是借防火通道等名义实施非法采矿的，更要加重处理。</w:t>
      </w:r>
    </w:p>
    <w:p>
      <w:pPr>
        <w:pStyle w:val="4"/>
        <w:widowControl w:val="0"/>
        <w:numPr>
          <w:ilvl w:val="3"/>
          <w:numId w:val="0"/>
        </w:numPr>
        <w:wordWrap/>
        <w:adjustRightInd w:val="0"/>
        <w:snapToGrid w:val="0"/>
        <w:spacing w:line="540" w:lineRule="exact"/>
        <w:ind w:left="0" w:leftChars="0" w:right="0" w:firstLine="640" w:firstLineChars="200"/>
        <w:textAlignment w:val="auto"/>
        <w:rPr>
          <w:rFonts w:hint="default" w:ascii="Times New Roman" w:hAnsi="Times New Roman" w:cs="Times New Roman"/>
          <w:snapToGrid w:val="0"/>
          <w:color w:val="000000"/>
          <w:kern w:val="0"/>
          <w:lang w:val="en-US"/>
        </w:rPr>
      </w:pPr>
      <w:r>
        <w:rPr>
          <w:rFonts w:hint="default" w:ascii="Times New Roman" w:hAnsi="Times New Roman" w:cs="Times New Roman"/>
          <w:snapToGrid w:val="0"/>
          <w:color w:val="000000"/>
          <w:kern w:val="0"/>
          <w:lang w:val="en-US"/>
        </w:rPr>
        <w:t>区国资金融发展中心：负责加强对土地储备整治单位项目（国有区属投融资公司）情况的监管，凡发现建设项目富余砂石相关单位未严格按照重庆市南川区规划和自然资源局《关于印发南川区建设项目工程砂石资源管理和开发利用实施意见（试行）的通知》（南川规资发</w:t>
      </w:r>
      <w:r>
        <w:rPr>
          <w:rFonts w:hint="default" w:ascii="Times New Roman" w:hAnsi="Times New Roman" w:cs="Times New Roman"/>
          <w:bCs w:val="0"/>
        </w:rPr>
        <w:t>〔2020〕</w:t>
      </w:r>
      <w:r>
        <w:rPr>
          <w:rFonts w:hint="default" w:ascii="Times New Roman" w:hAnsi="Times New Roman" w:cs="Times New Roman"/>
          <w:snapToGrid w:val="0"/>
          <w:color w:val="000000"/>
          <w:kern w:val="0"/>
          <w:lang w:val="en-US"/>
        </w:rPr>
        <w:t>69号）规定执行的，严格追查问责。</w:t>
      </w:r>
    </w:p>
    <w:p>
      <w:pPr>
        <w:pStyle w:val="4"/>
        <w:widowControl w:val="0"/>
        <w:numPr>
          <w:ilvl w:val="3"/>
          <w:numId w:val="0"/>
        </w:numPr>
        <w:wordWrap/>
        <w:adjustRightInd w:val="0"/>
        <w:snapToGrid w:val="0"/>
        <w:spacing w:line="540" w:lineRule="exact"/>
        <w:ind w:left="0" w:leftChars="0" w:right="0" w:firstLine="640" w:firstLineChars="200"/>
        <w:textAlignment w:val="auto"/>
        <w:rPr>
          <w:rFonts w:hint="default" w:ascii="Times New Roman" w:hAnsi="Times New Roman" w:cs="Times New Roman"/>
          <w:snapToGrid w:val="0"/>
          <w:color w:val="000000"/>
          <w:kern w:val="0"/>
          <w:lang w:val="en-US"/>
        </w:rPr>
      </w:pPr>
      <w:r>
        <w:rPr>
          <w:rFonts w:hint="default" w:ascii="Times New Roman" w:hAnsi="Times New Roman" w:cs="Times New Roman"/>
          <w:snapToGrid w:val="0"/>
          <w:color w:val="000000"/>
          <w:kern w:val="0"/>
          <w:lang w:val="en-US"/>
        </w:rPr>
        <w:t>各乡镇人民政府、街道办事处：按照属地原则，各乡镇街道是打击矿产资源无证采矿的责任主体，负责对辖区内进行拉网式全面排查，并对排查出来的无证采矿项目和采矿点依法进行关停处置，并落实监管责任单位和责任人。负责排查以修建乡村公路为名义非法采矿等“工程”无证采矿行为，要坚决做到第一时间发现、第一时间制止、第一时间处置。</w:t>
      </w:r>
    </w:p>
    <w:p>
      <w:pPr>
        <w:widowControl w:val="0"/>
        <w:wordWrap/>
        <w:adjustRightInd w:val="0"/>
        <w:snapToGrid w:val="0"/>
        <w:spacing w:line="540" w:lineRule="exact"/>
        <w:ind w:left="0" w:leftChars="0" w:right="0" w:firstLine="640" w:firstLineChars="20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color w:val="000000"/>
          <w:sz w:val="32"/>
          <w:szCs w:val="32"/>
        </w:rPr>
        <w:t>工业园区管委会、高速公路指挥部、高速铁路指挥部：负责对各自领域内在建的工程“矿山”的监管和检查，规范各自区域在建工程的矿产资源开发和流通，凡发现以</w:t>
      </w:r>
      <w:r>
        <w:rPr>
          <w:rFonts w:hint="default" w:ascii="Times New Roman" w:hAnsi="Times New Roman" w:eastAsia="方正仿宋_GBK" w:cs="Times New Roman"/>
          <w:bCs/>
          <w:snapToGrid w:val="0"/>
          <w:color w:val="000000"/>
          <w:kern w:val="0"/>
          <w:sz w:val="32"/>
          <w:szCs w:val="32"/>
        </w:rPr>
        <w:t>“工程建设”名义开采矿产资源自行销售或处置的项目，要第一时间报告区规划自然资源和区公安部门。</w:t>
      </w:r>
    </w:p>
    <w:p>
      <w:pPr>
        <w:widowControl w:val="0"/>
        <w:wordWrap/>
        <w:adjustRightInd w:val="0"/>
        <w:snapToGrid w:val="0"/>
        <w:spacing w:line="540" w:lineRule="exact"/>
        <w:ind w:left="0" w:leftChars="0" w:right="0" w:firstLine="640" w:firstLineChars="200"/>
        <w:textAlignment w:val="auto"/>
        <w:rPr>
          <w:rFonts w:hint="default" w:ascii="Times New Roman" w:hAnsi="Times New Roman" w:eastAsia="方正黑体_GBK" w:cs="Times New Roman"/>
          <w:bCs/>
          <w:color w:val="000000"/>
          <w:sz w:val="32"/>
          <w:szCs w:val="32"/>
        </w:rPr>
      </w:pPr>
      <w:r>
        <w:rPr>
          <w:rFonts w:hint="default" w:ascii="Times New Roman" w:hAnsi="Times New Roman" w:eastAsia="方正黑体_GBK" w:cs="Times New Roman"/>
          <w:bCs/>
          <w:color w:val="000000"/>
          <w:sz w:val="32"/>
          <w:szCs w:val="32"/>
        </w:rPr>
        <w:t>五、工作要求</w:t>
      </w:r>
    </w:p>
    <w:p>
      <w:pPr>
        <w:widowControl w:val="0"/>
        <w:wordWrap/>
        <w:adjustRightInd w:val="0"/>
        <w:snapToGrid w:val="0"/>
        <w:spacing w:line="540" w:lineRule="exact"/>
        <w:ind w:left="0" w:leftChars="0" w:right="0" w:firstLine="640" w:firstLineChars="200"/>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楷体_GBK" w:cs="Times New Roman"/>
          <w:bCs/>
          <w:color w:val="000000"/>
          <w:sz w:val="32"/>
          <w:szCs w:val="32"/>
        </w:rPr>
        <w:t>（一）加强组织领导。</w:t>
      </w:r>
      <w:r>
        <w:rPr>
          <w:rFonts w:hint="default" w:ascii="Times New Roman" w:hAnsi="Times New Roman" w:eastAsia="方正仿宋_GBK" w:cs="Times New Roman"/>
          <w:bCs/>
          <w:color w:val="000000"/>
          <w:sz w:val="32"/>
          <w:szCs w:val="32"/>
        </w:rPr>
        <w:t>区政府成立打击矿产资源无证采矿专项整治行动领导小组，由区政府分管领导任组长，区规划自然资源局、区应急管理局主要负责人任副组长，区公安局、区经济信息委、区应急管理局、区城市管理局、区生态环境局、区市场监管局、区交通局、区林业局、工业园区管委会、</w:t>
      </w:r>
      <w:r>
        <w:rPr>
          <w:rFonts w:hint="default" w:ascii="Times New Roman" w:hAnsi="Times New Roman" w:eastAsia="方正仿宋_GBK" w:cs="Times New Roman"/>
          <w:color w:val="000000"/>
          <w:sz w:val="32"/>
          <w:szCs w:val="32"/>
        </w:rPr>
        <w:t>高速公路指挥部、高速铁路指挥部</w:t>
      </w:r>
      <w:r>
        <w:rPr>
          <w:rFonts w:hint="default" w:ascii="Times New Roman" w:hAnsi="Times New Roman" w:eastAsia="方正仿宋_GBK" w:cs="Times New Roman"/>
          <w:bCs/>
          <w:color w:val="000000"/>
          <w:sz w:val="32"/>
          <w:szCs w:val="32"/>
        </w:rPr>
        <w:t>等相关单位为成员单位。领导小组办公室设在区规划自然资源局，负责日常工作。</w:t>
      </w:r>
    </w:p>
    <w:p>
      <w:pPr>
        <w:widowControl w:val="0"/>
        <w:wordWrap/>
        <w:adjustRightInd w:val="0"/>
        <w:snapToGrid w:val="0"/>
        <w:spacing w:line="540" w:lineRule="exact"/>
        <w:ind w:left="0" w:leftChars="0" w:right="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楷体_GBK" w:cs="Times New Roman"/>
          <w:bCs/>
          <w:sz w:val="32"/>
          <w:szCs w:val="32"/>
        </w:rPr>
        <w:t>（二）落实整治机制。</w:t>
      </w:r>
      <w:r>
        <w:rPr>
          <w:rFonts w:hint="default" w:ascii="Times New Roman" w:hAnsi="Times New Roman" w:eastAsia="方正仿宋_GBK" w:cs="Times New Roman"/>
          <w:bCs/>
          <w:sz w:val="32"/>
          <w:szCs w:val="32"/>
        </w:rPr>
        <w:t>各乡镇街道、区级有关部门要设立并公布举报邮箱和举报电话等，充分发挥社会监督作用。要</w:t>
      </w:r>
      <w:r>
        <w:rPr>
          <w:rFonts w:hint="default" w:ascii="Times New Roman" w:hAnsi="Times New Roman" w:eastAsia="方正仿宋_GBK" w:cs="Times New Roman"/>
          <w:sz w:val="32"/>
          <w:szCs w:val="32"/>
        </w:rPr>
        <w:t>加大日常巡查工作力度，对发现的无证非法采矿行为要立即制止和报告，并采取有效措施进行处置，</w:t>
      </w:r>
    </w:p>
    <w:p>
      <w:pPr>
        <w:widowControl w:val="0"/>
        <w:wordWrap/>
        <w:adjustRightInd w:val="0"/>
        <w:snapToGrid w:val="0"/>
        <w:spacing w:line="540" w:lineRule="exact"/>
        <w:ind w:left="0" w:leftChars="0" w:right="0" w:firstLine="640" w:firstLineChars="200"/>
        <w:textAlignment w:val="auto"/>
        <w:rPr>
          <w:rFonts w:hint="default" w:ascii="Times New Roman" w:hAnsi="Times New Roman" w:eastAsia="方正楷体_GBK" w:cs="Times New Roman"/>
          <w:bCs/>
          <w:sz w:val="32"/>
          <w:szCs w:val="32"/>
        </w:rPr>
      </w:pPr>
      <w:r>
        <w:rPr>
          <w:rFonts w:hint="default" w:ascii="Times New Roman" w:hAnsi="Times New Roman" w:eastAsia="方正楷体_GBK" w:cs="Times New Roman"/>
          <w:sz w:val="32"/>
          <w:szCs w:val="32"/>
        </w:rPr>
        <w:t>（三）严格依法查处。</w:t>
      </w:r>
      <w:r>
        <w:rPr>
          <w:rFonts w:hint="default" w:ascii="Times New Roman" w:hAnsi="Times New Roman" w:eastAsia="方正仿宋_GBK" w:cs="Times New Roman"/>
          <w:sz w:val="32"/>
          <w:szCs w:val="32"/>
        </w:rPr>
        <w:t>要进一步加大综合执法力度，严肃查处矿产资源无证采矿违法行为，形成各部门各尽其责、齐抓共管的工作格局。</w:t>
      </w:r>
      <w:r>
        <w:rPr>
          <w:rFonts w:hint="default" w:ascii="Times New Roman" w:hAnsi="Times New Roman" w:eastAsia="方正仿宋_GBK" w:cs="Times New Roman"/>
          <w:bCs/>
          <w:snapToGrid w:val="0"/>
          <w:color w:val="000000"/>
          <w:kern w:val="0"/>
          <w:sz w:val="32"/>
          <w:szCs w:val="32"/>
        </w:rPr>
        <w:t>凡经查证相关项目和人员涉嫌犯罪的，坚决移送司法机关处理。</w:t>
      </w:r>
    </w:p>
    <w:p>
      <w:pPr>
        <w:widowControl w:val="0"/>
        <w:wordWrap/>
        <w:adjustRightInd w:val="0"/>
        <w:snapToGrid w:val="0"/>
        <w:spacing w:line="54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napToGrid w:val="0"/>
          <w:kern w:val="0"/>
          <w:sz w:val="32"/>
          <w:szCs w:val="32"/>
        </w:rPr>
        <w:t>各相关单位每月20日18:00前，填报《</w:t>
      </w:r>
      <w:r>
        <w:rPr>
          <w:rFonts w:hint="default" w:ascii="Times New Roman" w:hAnsi="Times New Roman" w:eastAsia="方正仿宋_GBK" w:cs="Times New Roman"/>
          <w:bCs/>
          <w:snapToGrid w:val="0"/>
          <w:kern w:val="0"/>
          <w:sz w:val="32"/>
          <w:szCs w:val="32"/>
        </w:rPr>
        <w:t>南川区矿产资源无证采矿线索排查情况表</w:t>
      </w:r>
      <w:r>
        <w:rPr>
          <w:rFonts w:hint="default" w:ascii="Times New Roman" w:hAnsi="Times New Roman" w:eastAsia="方正仿宋_GBK" w:cs="Times New Roman"/>
          <w:snapToGrid w:val="0"/>
          <w:kern w:val="0"/>
          <w:sz w:val="32"/>
          <w:szCs w:val="32"/>
        </w:rPr>
        <w:t>》报领导小组办公室。</w:t>
      </w:r>
      <w:r>
        <w:rPr>
          <w:rFonts w:hint="eastAsia" w:cs="Times New Roman"/>
          <w:snapToGrid w:val="0"/>
          <w:kern w:val="0"/>
          <w:sz w:val="32"/>
          <w:szCs w:val="32"/>
          <w:lang w:eastAsia="zh-CN"/>
        </w:rPr>
        <w:t>（联系人：李龙剑，联系电话：</w:t>
      </w:r>
      <w:r>
        <w:rPr>
          <w:rFonts w:hint="eastAsia" w:cs="Times New Roman"/>
          <w:snapToGrid w:val="0"/>
          <w:kern w:val="0"/>
          <w:sz w:val="32"/>
          <w:szCs w:val="32"/>
          <w:lang w:val="en-US" w:eastAsia="zh-CN"/>
        </w:rPr>
        <w:t>71423376，邮箱：35512145@qq.com）</w:t>
      </w:r>
    </w:p>
    <w:p>
      <w:pPr>
        <w:widowControl w:val="0"/>
        <w:wordWrap/>
        <w:adjustRightInd w:val="0"/>
        <w:snapToGrid w:val="0"/>
        <w:spacing w:line="540" w:lineRule="exact"/>
        <w:ind w:left="0" w:leftChars="0" w:right="0" w:firstLine="640" w:firstLineChars="200"/>
        <w:textAlignment w:val="auto"/>
        <w:rPr>
          <w:rFonts w:hint="default" w:ascii="Times New Roman" w:hAnsi="Times New Roman" w:eastAsia="方正仿宋_GBK" w:cs="Times New Roman"/>
          <w:sz w:val="32"/>
          <w:szCs w:val="32"/>
        </w:rPr>
      </w:pPr>
    </w:p>
    <w:p>
      <w:pPr>
        <w:widowControl w:val="0"/>
        <w:wordWrap/>
        <w:adjustRightInd w:val="0"/>
        <w:snapToGrid w:val="0"/>
        <w:spacing w:line="54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附件：1.南川区关闭矿山名单</w:t>
      </w:r>
    </w:p>
    <w:p>
      <w:pPr>
        <w:widowControl w:val="0"/>
        <w:wordWrap/>
        <w:adjustRightInd w:val="0"/>
        <w:snapToGrid w:val="0"/>
        <w:spacing w:line="540" w:lineRule="exact"/>
        <w:ind w:left="0" w:leftChars="0" w:right="0"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2.南川区矿产资源无证采矿线索排查情况表</w:t>
      </w:r>
    </w:p>
    <w:p>
      <w:pPr>
        <w:pStyle w:val="19"/>
        <w:widowControl w:val="0"/>
        <w:snapToGrid w:val="0"/>
        <w:spacing w:before="0" w:beforeAutospacing="0" w:after="0" w:afterAutospacing="0" w:line="560" w:lineRule="exact"/>
        <w:ind w:left="6643" w:leftChars="1976" w:right="1360" w:rightChars="425" w:hanging="320" w:hangingChars="100"/>
        <w:rPr>
          <w:rFonts w:ascii="Times New Roman" w:hAnsi="方正仿宋_GBK" w:eastAsia="方正仿宋_GBK" w:cs="Times New Roman"/>
          <w:sz w:val="32"/>
          <w:szCs w:val="32"/>
        </w:rPr>
      </w:pPr>
    </w:p>
    <w:p>
      <w:pPr>
        <w:pStyle w:val="19"/>
        <w:widowControl w:val="0"/>
        <w:snapToGrid w:val="0"/>
        <w:spacing w:before="0" w:beforeAutospacing="0" w:after="0" w:afterAutospacing="0" w:line="560" w:lineRule="exact"/>
        <w:ind w:left="6643" w:leftChars="1976" w:right="1360" w:rightChars="425" w:hanging="320" w:hangingChars="100"/>
        <w:rPr>
          <w:rFonts w:ascii="Times New Roman" w:hAnsi="方正仿宋_GBK" w:eastAsia="方正仿宋_GBK" w:cs="Times New Roman"/>
          <w:sz w:val="32"/>
          <w:szCs w:val="32"/>
        </w:rPr>
      </w:pPr>
    </w:p>
    <w:p>
      <w:pPr>
        <w:pStyle w:val="19"/>
        <w:widowControl w:val="0"/>
        <w:snapToGrid w:val="0"/>
        <w:spacing w:before="0" w:beforeAutospacing="0" w:after="0" w:afterAutospacing="0" w:line="560" w:lineRule="exact"/>
        <w:ind w:left="6643" w:leftChars="1976" w:right="1360" w:rightChars="425" w:hanging="320" w:hangingChars="100"/>
        <w:rPr>
          <w:rFonts w:ascii="Times New Roman" w:hAnsi="方正仿宋_GBK" w:eastAsia="方正仿宋_GBK" w:cs="Times New Roman"/>
          <w:sz w:val="32"/>
          <w:szCs w:val="32"/>
        </w:rPr>
      </w:pPr>
    </w:p>
    <w:p>
      <w:pPr>
        <w:pStyle w:val="19"/>
        <w:widowControl w:val="0"/>
        <w:snapToGrid w:val="0"/>
        <w:spacing w:before="0" w:beforeAutospacing="0" w:after="0" w:afterAutospacing="0" w:line="560" w:lineRule="exact"/>
        <w:ind w:right="22" w:rightChars="7" w:firstLine="4160" w:firstLineChars="1300"/>
        <w:rPr>
          <w:rFonts w:ascii="Times New Roman" w:hAnsi="方正仿宋_GBK" w:eastAsia="方正仿宋_GBK" w:cs="Times New Roman"/>
          <w:sz w:val="32"/>
          <w:szCs w:val="32"/>
        </w:rPr>
      </w:pPr>
      <w:r>
        <w:rPr>
          <w:rFonts w:ascii="Times New Roman" w:hAnsi="方正仿宋_GBK" w:eastAsia="方正仿宋_GBK" w:cs="Times New Roman"/>
          <w:sz w:val="32"/>
          <w:szCs w:val="32"/>
        </w:rPr>
        <w:t>重庆市南川区</w:t>
      </w:r>
      <w:r>
        <w:rPr>
          <w:rFonts w:hint="eastAsia" w:ascii="Times New Roman" w:hAnsi="方正仿宋_GBK" w:eastAsia="方正仿宋_GBK" w:cs="Times New Roman"/>
          <w:sz w:val="32"/>
          <w:szCs w:val="32"/>
        </w:rPr>
        <w:t>人民政府办公室</w:t>
      </w:r>
    </w:p>
    <w:p>
      <w:pPr>
        <w:pStyle w:val="19"/>
        <w:widowControl w:val="0"/>
        <w:snapToGrid w:val="0"/>
        <w:spacing w:before="0" w:beforeAutospacing="0" w:after="0" w:afterAutospacing="0" w:line="560" w:lineRule="exact"/>
        <w:ind w:right="1360" w:rightChars="425" w:firstLine="5120" w:firstLineChars="1600"/>
        <w:rPr>
          <w:rFonts w:hint="eastAsia" w:ascii="Times New Roman" w:hAnsi="方正仿宋_GBK" w:eastAsia="方正仿宋_GBK" w:cs="Times New Roman"/>
          <w:sz w:val="32"/>
          <w:szCs w:val="32"/>
        </w:rPr>
      </w:pPr>
      <w:r>
        <w:rPr>
          <w:rFonts w:ascii="Times New Roman" w:hAnsi="Times New Roman" w:eastAsia="方正仿宋_GBK" w:cs="Times New Roman"/>
          <w:sz w:val="32"/>
          <w:szCs w:val="32"/>
        </w:rPr>
        <w:t>2021</w:t>
      </w:r>
      <w:r>
        <w:rPr>
          <w:rFonts w:ascii="Times New Roman" w:hAnsi="方正仿宋_GBK" w:eastAsia="方正仿宋_GBK" w:cs="Times New Roman"/>
          <w:sz w:val="32"/>
          <w:szCs w:val="32"/>
        </w:rPr>
        <w:t>年</w:t>
      </w:r>
      <w:r>
        <w:rPr>
          <w:rFonts w:hint="eastAsia" w:ascii="Times New Roman" w:hAnsi="Times New Roman" w:eastAsia="方正仿宋_GBK" w:cs="Times New Roman"/>
          <w:sz w:val="32"/>
          <w:szCs w:val="32"/>
        </w:rPr>
        <w:t>3</w:t>
      </w:r>
      <w:r>
        <w:rPr>
          <w:rFonts w:ascii="Times New Roman" w:hAnsi="方正仿宋_GBK" w:eastAsia="方正仿宋_GBK" w:cs="Times New Roman"/>
          <w:sz w:val="32"/>
          <w:szCs w:val="32"/>
        </w:rPr>
        <w:t>月</w:t>
      </w:r>
      <w:r>
        <w:rPr>
          <w:rFonts w:hint="eastAsia" w:ascii="Times New Roman" w:hAnsi="方正仿宋_GBK" w:eastAsia="方正仿宋_GBK" w:cs="Times New Roman"/>
          <w:sz w:val="32"/>
          <w:szCs w:val="32"/>
          <w:lang w:val="en-US" w:eastAsia="zh-CN"/>
        </w:rPr>
        <w:t>10</w:t>
      </w:r>
      <w:r>
        <w:rPr>
          <w:rFonts w:hint="eastAsia" w:ascii="Times New Roman" w:hAnsi="方正仿宋_GBK" w:eastAsia="方正仿宋_GBK" w:cs="Times New Roman"/>
          <w:sz w:val="32"/>
          <w:szCs w:val="32"/>
        </w:rPr>
        <w:t>日</w:t>
      </w:r>
    </w:p>
    <w:p>
      <w:pPr>
        <w:pStyle w:val="19"/>
        <w:widowControl w:val="0"/>
        <w:wordWrap/>
        <w:adjustRightInd/>
        <w:snapToGrid w:val="0"/>
        <w:spacing w:before="0" w:beforeAutospacing="0" w:after="0" w:afterAutospacing="0" w:line="560" w:lineRule="exact"/>
        <w:ind w:left="0" w:leftChars="0" w:right="0" w:firstLine="640" w:firstLineChars="200"/>
        <w:jc w:val="left"/>
        <w:textAlignment w:val="auto"/>
        <w:outlineLvl w:val="9"/>
        <w:sectPr>
          <w:footerReference r:id="rId3" w:type="default"/>
          <w:footerReference r:id="rId4" w:type="even"/>
          <w:pgSz w:w="11906" w:h="16838"/>
          <w:pgMar w:top="2098" w:right="1474" w:bottom="1985" w:left="1588" w:header="851" w:footer="1474" w:gutter="0"/>
          <w:cols w:space="720" w:num="1"/>
          <w:docGrid w:linePitch="579" w:charSpace="-1024"/>
        </w:sectPr>
      </w:pPr>
      <w:r>
        <w:rPr>
          <w:rFonts w:hint="eastAsia" w:ascii="Times New Roman" w:hAnsi="方正仿宋_GBK" w:eastAsia="方正仿宋_GBK" w:cs="Times New Roman"/>
          <w:sz w:val="32"/>
          <w:szCs w:val="32"/>
          <w:lang w:eastAsia="zh-CN"/>
        </w:rPr>
        <w:t>（此件公开发布）</w:t>
      </w:r>
    </w:p>
    <w:p>
      <w:pPr>
        <w:adjustRightInd w:val="0"/>
        <w:snapToGrid w:val="0"/>
        <w:spacing w:line="540" w:lineRule="exact"/>
        <w:ind w:right="-102"/>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附件1</w:t>
      </w:r>
    </w:p>
    <w:p>
      <w:pPr>
        <w:pStyle w:val="4"/>
        <w:widowControl w:val="0"/>
        <w:numPr>
          <w:ilvl w:val="3"/>
          <w:numId w:val="0"/>
        </w:numPr>
        <w:wordWrap/>
        <w:adjustRightInd/>
        <w:snapToGrid/>
        <w:spacing w:line="240" w:lineRule="auto"/>
        <w:ind w:left="0" w:leftChars="0" w:right="0" w:firstLine="0" w:firstLineChars="0"/>
        <w:jc w:val="center"/>
        <w:textAlignment w:val="auto"/>
        <w:outlineLvl w:val="3"/>
        <w:rPr>
          <w:rFonts w:ascii="方正小标宋_GBK" w:eastAsia="方正小标宋_GBK"/>
          <w:sz w:val="44"/>
          <w:szCs w:val="44"/>
          <w:lang w:val="en-US"/>
        </w:rPr>
      </w:pPr>
      <w:r>
        <w:rPr>
          <w:rFonts w:hint="eastAsia" w:ascii="方正小标宋_GBK" w:eastAsia="方正小标宋_GBK"/>
          <w:sz w:val="44"/>
          <w:szCs w:val="44"/>
          <w:lang w:val="en-US"/>
        </w:rPr>
        <w:t>南川区关闭矿山名单</w:t>
      </w:r>
    </w:p>
    <w:tbl>
      <w:tblPr>
        <w:tblStyle w:val="9"/>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5392"/>
        <w:gridCol w:w="1424"/>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blHeader/>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方正黑体_GBK" w:hAnsi="宋体" w:eastAsia="方正黑体_GBK" w:cs="宋体"/>
                <w:bCs/>
                <w:kern w:val="0"/>
                <w:sz w:val="24"/>
                <w:szCs w:val="24"/>
              </w:rPr>
            </w:pPr>
            <w:r>
              <w:rPr>
                <w:rFonts w:hint="eastAsia" w:ascii="方正黑体_GBK" w:hAnsi="宋体" w:eastAsia="方正黑体_GBK" w:cs="宋体"/>
                <w:bCs/>
                <w:kern w:val="0"/>
                <w:sz w:val="24"/>
                <w:szCs w:val="24"/>
              </w:rPr>
              <w:t>序号</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黑体_GBK" w:hAnsi="宋体" w:eastAsia="方正黑体_GBK" w:cs="宋体"/>
                <w:bCs/>
                <w:kern w:val="0"/>
                <w:sz w:val="24"/>
                <w:szCs w:val="24"/>
              </w:rPr>
            </w:pPr>
            <w:r>
              <w:rPr>
                <w:rFonts w:hint="eastAsia" w:ascii="方正黑体_GBK" w:hAnsi="宋体" w:eastAsia="方正黑体_GBK" w:cs="宋体"/>
                <w:bCs/>
                <w:kern w:val="0"/>
                <w:sz w:val="24"/>
                <w:szCs w:val="24"/>
              </w:rPr>
              <w:t>矿 山 名 称</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黑体_GBK" w:hAnsi="宋体" w:eastAsia="方正黑体_GBK" w:cs="宋体"/>
                <w:bCs/>
                <w:kern w:val="0"/>
                <w:sz w:val="24"/>
                <w:szCs w:val="24"/>
              </w:rPr>
            </w:pPr>
            <w:r>
              <w:rPr>
                <w:rFonts w:hint="eastAsia" w:ascii="方正黑体_GBK" w:hAnsi="宋体" w:eastAsia="方正黑体_GBK" w:cs="宋体"/>
                <w:bCs/>
                <w:kern w:val="0"/>
                <w:sz w:val="24"/>
                <w:szCs w:val="24"/>
              </w:rPr>
              <w:t>矿 种</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黑体_GBK" w:hAnsi="宋体" w:eastAsia="方正黑体_GBK" w:cs="宋体"/>
                <w:bCs/>
                <w:kern w:val="0"/>
                <w:sz w:val="24"/>
                <w:szCs w:val="24"/>
              </w:rPr>
            </w:pPr>
            <w:r>
              <w:rPr>
                <w:rFonts w:hint="eastAsia" w:ascii="方正黑体_GBK" w:hAnsi="宋体" w:eastAsia="方正黑体_GBK" w:cs="宋体"/>
                <w:bCs/>
                <w:kern w:val="0"/>
                <w:sz w:val="24"/>
                <w:szCs w:val="24"/>
              </w:rPr>
              <w:t>所在镇街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1</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重庆市南川区大兴煤炭有限责任公司新世纪煤矿</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煤</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南城街道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2</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重庆市南川国华矿山设备有限公司</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煤</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南城街道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3</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重庆市龙腾煤业有限责任公司</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煤</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东城街道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4</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重庆市南川区成联煤业有限公司石庆煤矿</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煤</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南平镇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5</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spacing w:val="-9"/>
                <w:kern w:val="0"/>
                <w:sz w:val="24"/>
                <w:szCs w:val="24"/>
              </w:rPr>
              <w:t>重庆市南川区高寿桥煤炭有限责任公司高寿桥煤矿</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煤</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南平镇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6</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重庆市南川区龙洞扁煤炭开采有限公司宏春煤矿</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煤</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南平镇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7</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重庆市铭龙煤业有限责任公司南平镇龙塘煤矿</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煤</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南平镇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8</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重庆市南川区成联煤业有限公司石庆煤矿</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煤</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南平镇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9</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重庆市南川区后山煤矿</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煤</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南平镇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10</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重庆锦绣煤炭开采有限公司锦绣煤矿</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煤</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南平镇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11</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spacing w:val="-9"/>
                <w:kern w:val="0"/>
                <w:sz w:val="24"/>
                <w:szCs w:val="24"/>
              </w:rPr>
              <w:t>重庆市南川区龙洞扁煤炭开采有限公司龙洞扁煤矿</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煤</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南平镇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12</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重庆市南川区利恒煤业有限责任公司青龙煤矿</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煤</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水江镇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13</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重庆市南川区先创煤炭开采有限公司</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煤</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水江镇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14</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重庆市南川区耀鸿煤业有限责任公司盛鑫煤矿</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煤</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水江镇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15</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重庆市南川区江源煤业有限责任公司田坝煤矿</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煤</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水江镇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16</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重庆市南川区春阳煤业有限责任公司春阳煤矿</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煤</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水江镇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17</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重庆市南川区灰河扶贫煤矿</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煤</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水江镇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18</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重庆市南川区万源煤业有限责任公司欣顺煤矿</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煤</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水江镇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19</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重庆市南川区万源煤业有限公司水洞煤矿</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煤</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水江镇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20</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重庆市南川区嘉岭煤矿有限责任公司</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煤</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水江镇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21</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spacing w:val="-15"/>
                <w:kern w:val="0"/>
                <w:sz w:val="24"/>
                <w:szCs w:val="24"/>
              </w:rPr>
              <w:t>重庆市南川区水江煤矿（集团）有限责任公司大隆煤矿</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煤</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水江镇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22</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重庆市南川区柯壁煤炭有限责任公司板桥煤矿</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煤</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水江镇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23</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重庆市南川区江源煤业有限责任公司江源煤矿</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煤</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水江镇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24</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重庆市南川区吉兴煤炭有限责任公司</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煤</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水江镇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25</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重庆市南川区利恒煤业有限责任公司大土煤矿</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煤</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水江镇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26</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重庆市南川区利恒煤业有限责任公司青龙煤矿</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煤</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水江镇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27</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重庆市南川区春阳煤业有限责任公司双茂煤矿</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煤</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水江镇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28</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重庆市南川区高寿桥煤炭有限责任公司大观煤矿</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煤</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水江镇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29</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重庆市南川区韦家湾煤矿</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煤</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水江镇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30</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重庆市南川区水江大龙铝矿有限公司</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铝土矿</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水江镇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31</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中铝灰河铝土矿矿山</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铝土矿</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水江镇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32</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中铝川洞湾铝土矿矿山</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铝土矿</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水江镇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33</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重庆市南川区先锋氧化铝有限公司金泉铝矿</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铝土矿</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金山镇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34</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重庆市昂达建材有限公司</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石灰石</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南平镇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35</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重庆市轩海建材有限公司</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建筑用砂岩</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大观镇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36</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重庆高恩欣建材有限公司</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石灰石</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南城街道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37</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重庆耀航建材有限公司</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砖瓦用页岩</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兴隆镇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38</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重庆合溪建材有限公司</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砖瓦用页岩</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合溪镇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39</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重庆市瑞悦建材有限公司</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砖瓦用页岩</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西城街道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40</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重庆道易建材有限公司</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砖瓦用页岩</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西城街道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41</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重庆市南川区开远矿业有限责任公司</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石英砂</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兴隆镇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42</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重庆市阳刚建材有限公司</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石灰石</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合溪镇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43</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重庆市华嵩建材有限公司峰岩页岩矿</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砖瓦用页岩</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峰岩乡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44</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重庆市仁真建材有限公司页岩矿山</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砖瓦用页岩</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大观镇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45</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重庆市南水建材有限公司</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砖瓦用页岩</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楠竹山镇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46</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重庆典峰建材有限公司</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砖瓦用页岩</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大有镇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47</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重庆市壮伟建材有限公司</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石灰石</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水江镇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48</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重庆市新嘉南建材有限责任公司砂岩矿区</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石英砂</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东城街道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49</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重庆市新嘉南建材有限责任公司华茸石灰石矿山</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石灰石</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东城街道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50</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重庆市南川区子午工贸有限责任公司安坪机砖厂</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砖瓦用页岩</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西城街道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51</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重庆市南川区战旗矿产品有限公司</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石灰石</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南平镇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52</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重庆市南川区姚波采石场</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石灰石</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东城街道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53</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重庆市楼岭建材有限公司</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砖瓦用页岩</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石墙镇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54</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重庆市福张建材有限公司</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石灰石</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东城街道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55</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张学海采石场</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建筑用砂岩</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大观镇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56</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罗伦华采石场变</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石灰石</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南城街道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57</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重庆市南川区海棠园页岩砖厂</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砖瓦用页岩</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西城街道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58</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邬应彬采石场</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石英石</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59</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南川张远均采石场</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石灰石</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水江镇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60</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重庆市南川区海棠园页岩砖厂</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砖瓦用页岩</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西城街道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61</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重庆市金恒大理石厂(普通合伙)</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建筑用砂岩</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大观镇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62</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南川区王冯采石厂</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石灰石</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西城街道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63</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重庆市南川区金华钙粉厂</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石灰石</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水江镇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64</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重庆市南川区夏佳弯石材厂</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石灰石</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东城街道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65</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南川区韦会明采石场</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石灰石</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东城街道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66</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重庆市南川区玉龙采石场</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石灰石</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南平镇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67</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重庆市南川区龙泉建材厂</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石灰石</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三泉镇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68</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南川区甘志全采石场</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石灰石</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南城街道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69</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南川区神童石英制砂厂</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石英砂</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神童镇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70</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重庆市南川区铁村建材厂</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砖瓦用页岩</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楠竹山镇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71</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重庆亚雄矿业有限公司</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石灰石</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水江镇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72</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重庆市南川区南平页岩砖厂燕口坡页岩分厂</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砖瓦用页岩</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兴隆镇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73</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重庆市南川区鸣玉石龙砖厂</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砖瓦用页岩</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鸣玉镇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74</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重庆市溢彩苑艺陶瓷有限公司</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页岩</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石墙镇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75</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重庆市南川区解秋平采石场</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石灰石</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西城街道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76</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重庆市山丘田采石厂</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石灰石</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南平镇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77</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南川区汪林采石厂</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石灰石</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水江镇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78</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重庆市南润建材有限责任公司</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石灰石</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南平镇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79</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南川区华裕页岩机砖厂</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砖瓦用页岩</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鸣玉镇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80</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重庆市南川区皮代君页岩厂</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砖瓦用页岩</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东城街道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81</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饶德国采石场</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石灰石</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西城街道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82</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重庆市南川区东明碳酸钙厂</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石灰石</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南城街道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83</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南川区陈国莲采石厂</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石灰石</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水江镇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84</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重庆市南川区川泰采石厂</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石灰石</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南城街道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85</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段文书采石场</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石灰石</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水江镇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86</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重庆市南川区广英勇采石场</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石灰石</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金山镇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87</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熊国强采石场</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石灰石</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水江镇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88</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陈贵兰采石场</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石灰石</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水江镇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89</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南川区邓远洲采石厂</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石灰石</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南城街道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90</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南川区饶德友采石场</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石灰石</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西城街道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91</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南川区王建洪采石场</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石灰石</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水江镇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92</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南川区王世荣采石场</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石灰石</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南城街道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93</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南川区瞿华银采石厂</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石灰石</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水江镇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94</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南川区王兴志采石场</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石灰石</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南城街道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95</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罗能华采石场</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石灰石</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南城街道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96</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重庆市南川区天源萤石厂</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萤石</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南平镇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trPr>
        <w:tc>
          <w:tcPr>
            <w:tcW w:w="718" w:type="dxa"/>
            <w:vAlign w:val="center"/>
          </w:tcPr>
          <w:p>
            <w:pPr>
              <w:widowControl/>
              <w:wordWrap/>
              <w:adjustRightInd/>
              <w:snapToGrid w:val="0"/>
              <w:spacing w:line="340" w:lineRule="exact"/>
              <w:ind w:left="0" w:leftChars="0" w:right="0" w:firstLine="0" w:firstLineChars="0"/>
              <w:jc w:val="center"/>
              <w:textAlignment w:val="auto"/>
              <w:outlineLvl w:val="9"/>
              <w:rPr>
                <w:rFonts w:ascii="Times New Roman" w:hAnsi="Times New Roman" w:eastAsia="方正仿宋_GBK"/>
                <w:kern w:val="0"/>
                <w:sz w:val="24"/>
                <w:szCs w:val="24"/>
              </w:rPr>
            </w:pPr>
            <w:r>
              <w:rPr>
                <w:rFonts w:ascii="Times New Roman" w:hAnsi="Times New Roman" w:eastAsia="方正仿宋_GBK"/>
                <w:kern w:val="0"/>
                <w:sz w:val="24"/>
                <w:szCs w:val="24"/>
              </w:rPr>
              <w:t>97</w:t>
            </w:r>
          </w:p>
        </w:tc>
        <w:tc>
          <w:tcPr>
            <w:tcW w:w="5392"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重庆市南川区先锋水泥总厂采石场</w:t>
            </w:r>
          </w:p>
        </w:tc>
        <w:tc>
          <w:tcPr>
            <w:tcW w:w="1424"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石灰石</w:t>
            </w:r>
          </w:p>
        </w:tc>
        <w:tc>
          <w:tcPr>
            <w:tcW w:w="1506" w:type="dxa"/>
            <w:vAlign w:val="center"/>
          </w:tcPr>
          <w:p>
            <w:pPr>
              <w:widowControl/>
              <w:wordWrap/>
              <w:adjustRightInd/>
              <w:snapToGrid w:val="0"/>
              <w:spacing w:line="340" w:lineRule="exact"/>
              <w:ind w:left="0" w:leftChars="0" w:right="0" w:firstLine="0" w:firstLineChars="0"/>
              <w:jc w:val="center"/>
              <w:textAlignment w:val="auto"/>
              <w:outlineLvl w:val="9"/>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南城街道</w:t>
            </w:r>
          </w:p>
        </w:tc>
      </w:tr>
    </w:tbl>
    <w:p>
      <w:pPr>
        <w:pStyle w:val="19"/>
        <w:widowControl w:val="0"/>
        <w:wordWrap/>
        <w:adjustRightInd/>
        <w:snapToGrid w:val="0"/>
        <w:spacing w:before="0" w:beforeAutospacing="0" w:after="0" w:afterAutospacing="0" w:line="560" w:lineRule="exact"/>
        <w:ind w:left="0" w:leftChars="0" w:right="0" w:firstLine="640" w:firstLineChars="200"/>
        <w:jc w:val="left"/>
        <w:textAlignment w:val="auto"/>
        <w:outlineLvl w:val="9"/>
        <w:rPr>
          <w:rFonts w:hint="eastAsia" w:ascii="Times New Roman" w:hAnsi="方正仿宋_GBK" w:eastAsia="方正仿宋_GBK" w:cs="Times New Roman"/>
          <w:sz w:val="32"/>
          <w:szCs w:val="32"/>
          <w:lang w:eastAsia="zh-CN"/>
        </w:rPr>
      </w:pPr>
    </w:p>
    <w:p>
      <w:pPr>
        <w:pStyle w:val="4"/>
        <w:numPr>
          <w:ilvl w:val="3"/>
          <w:numId w:val="0"/>
        </w:numPr>
        <w:ind w:leftChars="0"/>
        <w:sectPr>
          <w:pgSz w:w="11906" w:h="16838"/>
          <w:pgMar w:top="2098" w:right="1474" w:bottom="1985" w:left="1588" w:header="851" w:footer="1474" w:gutter="0"/>
          <w:cols w:space="720" w:num="1"/>
          <w:docGrid w:linePitch="579" w:charSpace="-1024"/>
        </w:sectPr>
      </w:pPr>
    </w:p>
    <w:p>
      <w:pPr>
        <w:adjustRightInd w:val="0"/>
        <w:snapToGrid w:val="0"/>
        <w:spacing w:line="540" w:lineRule="exact"/>
        <w:ind w:right="-102"/>
      </w:pPr>
      <w:r>
        <w:rPr>
          <w:rFonts w:ascii="方正黑体_GBK" w:hAnsi="方正黑体_GBK" w:eastAsia="方正黑体_GBK" w:cs="方正黑体_GBK"/>
          <w:bCs/>
          <w:sz w:val="32"/>
          <w:szCs w:val="32"/>
        </w:rPr>
        <w:t>附件</w:t>
      </w:r>
      <w:r>
        <w:rPr>
          <w:rFonts w:hint="eastAsia" w:ascii="方正黑体_GBK" w:hAnsi="方正黑体_GBK" w:eastAsia="方正黑体_GBK" w:cs="方正黑体_GBK"/>
          <w:bCs/>
          <w:sz w:val="32"/>
          <w:szCs w:val="32"/>
        </w:rPr>
        <w:t>2</w:t>
      </w:r>
    </w:p>
    <w:p>
      <w:pPr>
        <w:snapToGrid w:val="0"/>
        <w:spacing w:line="540" w:lineRule="exact"/>
        <w:jc w:val="center"/>
        <w:rPr>
          <w:rFonts w:ascii="方正小标宋_GBK" w:hAnsi="方正小标宋_GBK" w:eastAsia="方正小标宋_GBK" w:cs="方正小标宋_GBK"/>
          <w:bCs/>
          <w:sz w:val="40"/>
          <w:szCs w:val="40"/>
        </w:rPr>
      </w:pPr>
      <w:r>
        <w:rPr>
          <w:rFonts w:hint="eastAsia" w:ascii="方正小标宋_GBK" w:hAnsi="方正小标宋_GBK" w:eastAsia="方正小标宋_GBK" w:cs="方正小标宋_GBK"/>
          <w:bCs/>
          <w:sz w:val="40"/>
          <w:szCs w:val="40"/>
        </w:rPr>
        <w:t>南川区矿产资源无证采矿线索排查情况表</w:t>
      </w:r>
    </w:p>
    <w:p>
      <w:pPr>
        <w:pStyle w:val="4"/>
        <w:numPr>
          <w:ilvl w:val="3"/>
          <w:numId w:val="0"/>
        </w:numPr>
        <w:rPr>
          <w:sz w:val="28"/>
          <w:szCs w:val="28"/>
          <w:lang w:val="en-US"/>
        </w:rPr>
      </w:pPr>
      <w:r>
        <w:rPr>
          <w:rFonts w:hint="eastAsia"/>
          <w:sz w:val="28"/>
          <w:szCs w:val="28"/>
          <w:lang w:val="en-US"/>
        </w:rPr>
        <w:t>填报单位：</w:t>
      </w:r>
    </w:p>
    <w:tbl>
      <w:tblPr>
        <w:tblStyle w:val="9"/>
        <w:tblW w:w="1454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0"/>
        <w:gridCol w:w="2098"/>
        <w:gridCol w:w="1798"/>
        <w:gridCol w:w="1799"/>
        <w:gridCol w:w="2849"/>
        <w:gridCol w:w="1948"/>
        <w:gridCol w:w="1500"/>
        <w:gridCol w:w="17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5" w:hRule="atLeast"/>
        </w:trPr>
        <w:tc>
          <w:tcPr>
            <w:tcW w:w="750" w:type="dxa"/>
            <w:vAlign w:val="center"/>
          </w:tcPr>
          <w:p>
            <w:pPr>
              <w:pStyle w:val="4"/>
              <w:numPr>
                <w:ilvl w:val="3"/>
                <w:numId w:val="0"/>
              </w:numPr>
              <w:jc w:val="center"/>
              <w:rPr>
                <w:rFonts w:hint="eastAsia" w:ascii="方正黑体_GBK" w:hAnsi="方正黑体_GBK" w:eastAsia="方正黑体_GBK" w:cs="方正黑体_GBK"/>
                <w:sz w:val="28"/>
                <w:szCs w:val="28"/>
                <w:lang w:val="en-US"/>
              </w:rPr>
            </w:pPr>
            <w:r>
              <w:rPr>
                <w:rFonts w:hint="eastAsia" w:ascii="方正黑体_GBK" w:hAnsi="方正黑体_GBK" w:eastAsia="方正黑体_GBK" w:cs="方正黑体_GBK"/>
                <w:sz w:val="28"/>
                <w:szCs w:val="28"/>
                <w:lang w:val="en-US"/>
              </w:rPr>
              <w:t>序号</w:t>
            </w:r>
          </w:p>
        </w:tc>
        <w:tc>
          <w:tcPr>
            <w:tcW w:w="2098" w:type="dxa"/>
            <w:vAlign w:val="center"/>
          </w:tcPr>
          <w:p>
            <w:pPr>
              <w:pStyle w:val="4"/>
              <w:numPr>
                <w:ilvl w:val="3"/>
                <w:numId w:val="0"/>
              </w:numPr>
              <w:jc w:val="center"/>
              <w:rPr>
                <w:rFonts w:hint="eastAsia" w:ascii="方正黑体_GBK" w:hAnsi="方正黑体_GBK" w:eastAsia="方正黑体_GBK" w:cs="方正黑体_GBK"/>
                <w:sz w:val="28"/>
                <w:szCs w:val="28"/>
                <w:lang w:val="en-US"/>
              </w:rPr>
            </w:pPr>
            <w:r>
              <w:rPr>
                <w:rFonts w:hint="eastAsia" w:ascii="方正黑体_GBK" w:hAnsi="方正黑体_GBK" w:eastAsia="方正黑体_GBK" w:cs="方正黑体_GBK"/>
                <w:sz w:val="28"/>
                <w:szCs w:val="28"/>
                <w:lang w:val="en-US"/>
              </w:rPr>
              <w:t>违法主体</w:t>
            </w:r>
          </w:p>
        </w:tc>
        <w:tc>
          <w:tcPr>
            <w:tcW w:w="1798" w:type="dxa"/>
            <w:vAlign w:val="center"/>
          </w:tcPr>
          <w:p>
            <w:pPr>
              <w:pStyle w:val="4"/>
              <w:numPr>
                <w:ilvl w:val="3"/>
                <w:numId w:val="0"/>
              </w:numPr>
              <w:jc w:val="center"/>
              <w:rPr>
                <w:rFonts w:hint="eastAsia" w:ascii="方正黑体_GBK" w:hAnsi="方正黑体_GBK" w:eastAsia="方正黑体_GBK" w:cs="方正黑体_GBK"/>
                <w:sz w:val="28"/>
                <w:szCs w:val="28"/>
                <w:lang w:val="en-US"/>
              </w:rPr>
            </w:pPr>
            <w:r>
              <w:rPr>
                <w:rFonts w:hint="eastAsia" w:ascii="方正黑体_GBK" w:hAnsi="方正黑体_GBK" w:eastAsia="方正黑体_GBK" w:cs="方正黑体_GBK"/>
                <w:sz w:val="28"/>
                <w:szCs w:val="28"/>
                <w:lang w:val="en-US"/>
              </w:rPr>
              <w:t>地址</w:t>
            </w:r>
          </w:p>
        </w:tc>
        <w:tc>
          <w:tcPr>
            <w:tcW w:w="1799" w:type="dxa"/>
            <w:vAlign w:val="center"/>
          </w:tcPr>
          <w:p>
            <w:pPr>
              <w:pStyle w:val="4"/>
              <w:numPr>
                <w:ilvl w:val="3"/>
                <w:numId w:val="0"/>
              </w:numPr>
              <w:jc w:val="center"/>
              <w:rPr>
                <w:rFonts w:hint="eastAsia" w:ascii="方正黑体_GBK" w:hAnsi="方正黑体_GBK" w:eastAsia="方正黑体_GBK" w:cs="方正黑体_GBK"/>
                <w:sz w:val="28"/>
                <w:szCs w:val="28"/>
                <w:lang w:val="en-US"/>
              </w:rPr>
            </w:pPr>
            <w:r>
              <w:rPr>
                <w:rFonts w:hint="eastAsia" w:ascii="方正黑体_GBK" w:hAnsi="方正黑体_GBK" w:eastAsia="方正黑体_GBK" w:cs="方正黑体_GBK"/>
                <w:sz w:val="28"/>
                <w:szCs w:val="28"/>
                <w:lang w:val="en-US"/>
              </w:rPr>
              <w:t>联系方式</w:t>
            </w:r>
          </w:p>
        </w:tc>
        <w:tc>
          <w:tcPr>
            <w:tcW w:w="2849" w:type="dxa"/>
            <w:vAlign w:val="center"/>
          </w:tcPr>
          <w:p>
            <w:pPr>
              <w:pStyle w:val="4"/>
              <w:numPr>
                <w:ilvl w:val="3"/>
                <w:numId w:val="0"/>
              </w:numPr>
              <w:spacing w:line="400" w:lineRule="exact"/>
              <w:jc w:val="center"/>
              <w:rPr>
                <w:rFonts w:hint="eastAsia" w:ascii="方正黑体_GBK" w:hAnsi="方正黑体_GBK" w:eastAsia="方正黑体_GBK" w:cs="方正黑体_GBK"/>
                <w:sz w:val="28"/>
                <w:szCs w:val="28"/>
                <w:lang w:val="en-US"/>
              </w:rPr>
            </w:pPr>
            <w:r>
              <w:rPr>
                <w:rFonts w:hint="eastAsia" w:ascii="方正黑体_GBK" w:hAnsi="方正黑体_GBK" w:eastAsia="方正黑体_GBK" w:cs="方正黑体_GBK"/>
                <w:sz w:val="28"/>
                <w:szCs w:val="28"/>
                <w:lang w:val="en-US"/>
              </w:rPr>
              <w:t>主要违法情况、违法时间、规模等</w:t>
            </w:r>
          </w:p>
        </w:tc>
        <w:tc>
          <w:tcPr>
            <w:tcW w:w="1948" w:type="dxa"/>
            <w:vAlign w:val="center"/>
          </w:tcPr>
          <w:p>
            <w:pPr>
              <w:pStyle w:val="4"/>
              <w:numPr>
                <w:ilvl w:val="3"/>
                <w:numId w:val="0"/>
              </w:numPr>
              <w:jc w:val="center"/>
              <w:rPr>
                <w:rFonts w:hint="eastAsia" w:ascii="方正黑体_GBK" w:hAnsi="方正黑体_GBK" w:eastAsia="方正黑体_GBK" w:cs="方正黑体_GBK"/>
                <w:sz w:val="28"/>
                <w:szCs w:val="28"/>
                <w:lang w:val="en-US"/>
              </w:rPr>
            </w:pPr>
            <w:r>
              <w:rPr>
                <w:rFonts w:hint="eastAsia" w:ascii="方正黑体_GBK" w:hAnsi="方正黑体_GBK" w:eastAsia="方正黑体_GBK" w:cs="方正黑体_GBK"/>
                <w:sz w:val="28"/>
                <w:szCs w:val="28"/>
                <w:lang w:val="en-US"/>
              </w:rPr>
              <w:t>处置</w:t>
            </w:r>
          </w:p>
        </w:tc>
        <w:tc>
          <w:tcPr>
            <w:tcW w:w="1500" w:type="dxa"/>
            <w:vAlign w:val="center"/>
          </w:tcPr>
          <w:p>
            <w:pPr>
              <w:pStyle w:val="4"/>
              <w:numPr>
                <w:ilvl w:val="3"/>
                <w:numId w:val="0"/>
              </w:numPr>
              <w:jc w:val="center"/>
              <w:rPr>
                <w:rFonts w:hint="eastAsia" w:ascii="方正黑体_GBK" w:hAnsi="方正黑体_GBK" w:eastAsia="方正黑体_GBK" w:cs="方正黑体_GBK"/>
                <w:sz w:val="28"/>
                <w:szCs w:val="28"/>
                <w:lang w:val="en-US"/>
              </w:rPr>
            </w:pPr>
            <w:r>
              <w:rPr>
                <w:rFonts w:hint="eastAsia" w:ascii="方正黑体_GBK" w:hAnsi="方正黑体_GBK" w:eastAsia="方正黑体_GBK" w:cs="方正黑体_GBK"/>
                <w:sz w:val="28"/>
                <w:szCs w:val="28"/>
                <w:lang w:val="en-US"/>
              </w:rPr>
              <w:t>违法类别</w:t>
            </w:r>
          </w:p>
        </w:tc>
        <w:tc>
          <w:tcPr>
            <w:tcW w:w="1798" w:type="dxa"/>
            <w:vAlign w:val="center"/>
          </w:tcPr>
          <w:p>
            <w:pPr>
              <w:pStyle w:val="4"/>
              <w:numPr>
                <w:ilvl w:val="3"/>
                <w:numId w:val="0"/>
              </w:numPr>
              <w:jc w:val="center"/>
              <w:rPr>
                <w:rFonts w:hint="eastAsia" w:ascii="方正黑体_GBK" w:hAnsi="方正黑体_GBK" w:eastAsia="方正黑体_GBK" w:cs="方正黑体_GBK"/>
                <w:sz w:val="28"/>
                <w:szCs w:val="28"/>
                <w:lang w:val="en-US"/>
              </w:rPr>
            </w:pPr>
            <w:r>
              <w:rPr>
                <w:rFonts w:hint="eastAsia" w:ascii="方正黑体_GBK" w:hAnsi="方正黑体_GBK" w:eastAsia="方正黑体_GBK" w:cs="方正黑体_GBK"/>
                <w:sz w:val="28"/>
                <w:szCs w:val="28"/>
                <w:lang w:val="en-U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0" w:hRule="atLeast"/>
        </w:trPr>
        <w:tc>
          <w:tcPr>
            <w:tcW w:w="750" w:type="dxa"/>
            <w:vAlign w:val="center"/>
          </w:tcPr>
          <w:p>
            <w:pPr>
              <w:pStyle w:val="4"/>
              <w:numPr>
                <w:ilvl w:val="3"/>
                <w:numId w:val="0"/>
              </w:numPr>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1</w:t>
            </w:r>
          </w:p>
        </w:tc>
        <w:tc>
          <w:tcPr>
            <w:tcW w:w="2098" w:type="dxa"/>
            <w:vAlign w:val="center"/>
          </w:tcPr>
          <w:p>
            <w:pPr>
              <w:pStyle w:val="4"/>
              <w:numPr>
                <w:ilvl w:val="3"/>
                <w:numId w:val="0"/>
              </w:numPr>
              <w:jc w:val="center"/>
              <w:rPr>
                <w:rFonts w:hint="default" w:ascii="Times New Roman" w:hAnsi="Times New Roman" w:cs="Times New Roman"/>
                <w:sz w:val="28"/>
                <w:szCs w:val="28"/>
                <w:lang w:val="en-US"/>
              </w:rPr>
            </w:pPr>
          </w:p>
        </w:tc>
        <w:tc>
          <w:tcPr>
            <w:tcW w:w="1798" w:type="dxa"/>
            <w:vAlign w:val="center"/>
          </w:tcPr>
          <w:p>
            <w:pPr>
              <w:pStyle w:val="4"/>
              <w:numPr>
                <w:ilvl w:val="3"/>
                <w:numId w:val="0"/>
              </w:numPr>
              <w:jc w:val="center"/>
              <w:rPr>
                <w:rFonts w:hint="default" w:ascii="Times New Roman" w:hAnsi="Times New Roman" w:cs="Times New Roman"/>
                <w:sz w:val="28"/>
                <w:szCs w:val="28"/>
                <w:lang w:val="en-US"/>
              </w:rPr>
            </w:pPr>
          </w:p>
        </w:tc>
        <w:tc>
          <w:tcPr>
            <w:tcW w:w="1799" w:type="dxa"/>
            <w:vAlign w:val="center"/>
          </w:tcPr>
          <w:p>
            <w:pPr>
              <w:pStyle w:val="4"/>
              <w:numPr>
                <w:ilvl w:val="3"/>
                <w:numId w:val="0"/>
              </w:numPr>
              <w:jc w:val="center"/>
              <w:rPr>
                <w:rFonts w:hint="default" w:ascii="Times New Roman" w:hAnsi="Times New Roman" w:cs="Times New Roman"/>
                <w:sz w:val="28"/>
                <w:szCs w:val="28"/>
                <w:lang w:val="en-US"/>
              </w:rPr>
            </w:pPr>
          </w:p>
        </w:tc>
        <w:tc>
          <w:tcPr>
            <w:tcW w:w="2849" w:type="dxa"/>
            <w:vAlign w:val="center"/>
          </w:tcPr>
          <w:p>
            <w:pPr>
              <w:pStyle w:val="4"/>
              <w:numPr>
                <w:ilvl w:val="3"/>
                <w:numId w:val="0"/>
              </w:numPr>
              <w:jc w:val="center"/>
              <w:rPr>
                <w:rFonts w:hint="default" w:ascii="Times New Roman" w:hAnsi="Times New Roman" w:cs="Times New Roman"/>
                <w:sz w:val="28"/>
                <w:szCs w:val="28"/>
                <w:lang w:val="en-US"/>
              </w:rPr>
            </w:pPr>
          </w:p>
        </w:tc>
        <w:tc>
          <w:tcPr>
            <w:tcW w:w="1948" w:type="dxa"/>
            <w:vAlign w:val="center"/>
          </w:tcPr>
          <w:p>
            <w:pPr>
              <w:pStyle w:val="4"/>
              <w:numPr>
                <w:ilvl w:val="3"/>
                <w:numId w:val="0"/>
              </w:numPr>
              <w:jc w:val="center"/>
              <w:rPr>
                <w:rFonts w:hint="default" w:ascii="Times New Roman" w:hAnsi="Times New Roman" w:cs="Times New Roman"/>
                <w:sz w:val="28"/>
                <w:szCs w:val="28"/>
                <w:lang w:val="en-US"/>
              </w:rPr>
            </w:pPr>
          </w:p>
        </w:tc>
        <w:tc>
          <w:tcPr>
            <w:tcW w:w="1500" w:type="dxa"/>
            <w:vAlign w:val="center"/>
          </w:tcPr>
          <w:p>
            <w:pPr>
              <w:pStyle w:val="4"/>
              <w:numPr>
                <w:ilvl w:val="3"/>
                <w:numId w:val="0"/>
              </w:numPr>
              <w:jc w:val="center"/>
              <w:rPr>
                <w:rFonts w:hint="default" w:ascii="Times New Roman" w:hAnsi="Times New Roman" w:cs="Times New Roman"/>
                <w:sz w:val="28"/>
                <w:szCs w:val="28"/>
                <w:lang w:val="en-US"/>
              </w:rPr>
            </w:pPr>
          </w:p>
        </w:tc>
        <w:tc>
          <w:tcPr>
            <w:tcW w:w="1798" w:type="dxa"/>
            <w:vAlign w:val="center"/>
          </w:tcPr>
          <w:p>
            <w:pPr>
              <w:pStyle w:val="4"/>
              <w:numPr>
                <w:ilvl w:val="3"/>
                <w:numId w:val="0"/>
              </w:numPr>
              <w:jc w:val="center"/>
              <w:rPr>
                <w:rFonts w:hint="default" w:ascii="Times New Roman" w:hAnsi="Times New Roman" w:cs="Times New Roman"/>
                <w:sz w:val="28"/>
                <w:szCs w:val="2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0" w:hRule="atLeast"/>
        </w:trPr>
        <w:tc>
          <w:tcPr>
            <w:tcW w:w="750" w:type="dxa"/>
            <w:vAlign w:val="center"/>
          </w:tcPr>
          <w:p>
            <w:pPr>
              <w:pStyle w:val="4"/>
              <w:numPr>
                <w:ilvl w:val="3"/>
                <w:numId w:val="0"/>
              </w:numPr>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2</w:t>
            </w:r>
          </w:p>
        </w:tc>
        <w:tc>
          <w:tcPr>
            <w:tcW w:w="2098" w:type="dxa"/>
            <w:vAlign w:val="center"/>
          </w:tcPr>
          <w:p>
            <w:pPr>
              <w:pStyle w:val="4"/>
              <w:numPr>
                <w:ilvl w:val="3"/>
                <w:numId w:val="0"/>
              </w:numPr>
              <w:jc w:val="center"/>
              <w:rPr>
                <w:rFonts w:hint="default" w:ascii="Times New Roman" w:hAnsi="Times New Roman" w:cs="Times New Roman"/>
                <w:sz w:val="28"/>
                <w:szCs w:val="28"/>
                <w:lang w:val="en-US"/>
              </w:rPr>
            </w:pPr>
          </w:p>
        </w:tc>
        <w:tc>
          <w:tcPr>
            <w:tcW w:w="1798" w:type="dxa"/>
            <w:vAlign w:val="center"/>
          </w:tcPr>
          <w:p>
            <w:pPr>
              <w:pStyle w:val="4"/>
              <w:numPr>
                <w:ilvl w:val="3"/>
                <w:numId w:val="0"/>
              </w:numPr>
              <w:jc w:val="center"/>
              <w:rPr>
                <w:rFonts w:hint="default" w:ascii="Times New Roman" w:hAnsi="Times New Roman" w:cs="Times New Roman"/>
                <w:sz w:val="28"/>
                <w:szCs w:val="28"/>
                <w:lang w:val="en-US"/>
              </w:rPr>
            </w:pPr>
          </w:p>
        </w:tc>
        <w:tc>
          <w:tcPr>
            <w:tcW w:w="1799" w:type="dxa"/>
            <w:vAlign w:val="center"/>
          </w:tcPr>
          <w:p>
            <w:pPr>
              <w:pStyle w:val="4"/>
              <w:numPr>
                <w:ilvl w:val="3"/>
                <w:numId w:val="0"/>
              </w:numPr>
              <w:jc w:val="center"/>
              <w:rPr>
                <w:rFonts w:hint="default" w:ascii="Times New Roman" w:hAnsi="Times New Roman" w:cs="Times New Roman"/>
                <w:sz w:val="28"/>
                <w:szCs w:val="28"/>
                <w:lang w:val="en-US"/>
              </w:rPr>
            </w:pPr>
          </w:p>
        </w:tc>
        <w:tc>
          <w:tcPr>
            <w:tcW w:w="2849" w:type="dxa"/>
            <w:vAlign w:val="center"/>
          </w:tcPr>
          <w:p>
            <w:pPr>
              <w:pStyle w:val="4"/>
              <w:numPr>
                <w:ilvl w:val="3"/>
                <w:numId w:val="0"/>
              </w:numPr>
              <w:jc w:val="center"/>
              <w:rPr>
                <w:rFonts w:hint="default" w:ascii="Times New Roman" w:hAnsi="Times New Roman" w:cs="Times New Roman"/>
                <w:sz w:val="28"/>
                <w:szCs w:val="28"/>
                <w:lang w:val="en-US"/>
              </w:rPr>
            </w:pPr>
          </w:p>
        </w:tc>
        <w:tc>
          <w:tcPr>
            <w:tcW w:w="1948" w:type="dxa"/>
            <w:vAlign w:val="center"/>
          </w:tcPr>
          <w:p>
            <w:pPr>
              <w:pStyle w:val="4"/>
              <w:numPr>
                <w:ilvl w:val="3"/>
                <w:numId w:val="0"/>
              </w:numPr>
              <w:jc w:val="center"/>
              <w:rPr>
                <w:rFonts w:hint="default" w:ascii="Times New Roman" w:hAnsi="Times New Roman" w:cs="Times New Roman"/>
                <w:sz w:val="28"/>
                <w:szCs w:val="28"/>
                <w:lang w:val="en-US"/>
              </w:rPr>
            </w:pPr>
          </w:p>
        </w:tc>
        <w:tc>
          <w:tcPr>
            <w:tcW w:w="1500" w:type="dxa"/>
            <w:vAlign w:val="center"/>
          </w:tcPr>
          <w:p>
            <w:pPr>
              <w:pStyle w:val="4"/>
              <w:numPr>
                <w:ilvl w:val="3"/>
                <w:numId w:val="0"/>
              </w:numPr>
              <w:jc w:val="center"/>
              <w:rPr>
                <w:rFonts w:hint="default" w:ascii="Times New Roman" w:hAnsi="Times New Roman" w:cs="Times New Roman"/>
                <w:sz w:val="28"/>
                <w:szCs w:val="28"/>
                <w:lang w:val="en-US"/>
              </w:rPr>
            </w:pPr>
          </w:p>
        </w:tc>
        <w:tc>
          <w:tcPr>
            <w:tcW w:w="1798" w:type="dxa"/>
            <w:vAlign w:val="center"/>
          </w:tcPr>
          <w:p>
            <w:pPr>
              <w:pStyle w:val="4"/>
              <w:numPr>
                <w:ilvl w:val="3"/>
                <w:numId w:val="0"/>
              </w:numPr>
              <w:jc w:val="center"/>
              <w:rPr>
                <w:rFonts w:hint="default" w:ascii="Times New Roman" w:hAnsi="Times New Roman" w:cs="Times New Roman"/>
                <w:sz w:val="28"/>
                <w:szCs w:val="2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0" w:hRule="atLeast"/>
        </w:trPr>
        <w:tc>
          <w:tcPr>
            <w:tcW w:w="750" w:type="dxa"/>
            <w:vAlign w:val="center"/>
          </w:tcPr>
          <w:p>
            <w:pPr>
              <w:pStyle w:val="4"/>
              <w:numPr>
                <w:ilvl w:val="3"/>
                <w:numId w:val="0"/>
              </w:numPr>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3</w:t>
            </w:r>
          </w:p>
        </w:tc>
        <w:tc>
          <w:tcPr>
            <w:tcW w:w="2098" w:type="dxa"/>
            <w:vAlign w:val="center"/>
          </w:tcPr>
          <w:p>
            <w:pPr>
              <w:pStyle w:val="4"/>
              <w:numPr>
                <w:ilvl w:val="3"/>
                <w:numId w:val="0"/>
              </w:numPr>
              <w:jc w:val="center"/>
              <w:rPr>
                <w:rFonts w:hint="default" w:ascii="Times New Roman" w:hAnsi="Times New Roman" w:cs="Times New Roman"/>
                <w:sz w:val="28"/>
                <w:szCs w:val="28"/>
                <w:lang w:val="en-US"/>
              </w:rPr>
            </w:pPr>
          </w:p>
        </w:tc>
        <w:tc>
          <w:tcPr>
            <w:tcW w:w="1798" w:type="dxa"/>
            <w:vAlign w:val="center"/>
          </w:tcPr>
          <w:p>
            <w:pPr>
              <w:pStyle w:val="4"/>
              <w:numPr>
                <w:ilvl w:val="3"/>
                <w:numId w:val="0"/>
              </w:numPr>
              <w:jc w:val="center"/>
              <w:rPr>
                <w:rFonts w:hint="default" w:ascii="Times New Roman" w:hAnsi="Times New Roman" w:cs="Times New Roman"/>
                <w:sz w:val="28"/>
                <w:szCs w:val="28"/>
                <w:lang w:val="en-US"/>
              </w:rPr>
            </w:pPr>
          </w:p>
        </w:tc>
        <w:tc>
          <w:tcPr>
            <w:tcW w:w="1799" w:type="dxa"/>
            <w:vAlign w:val="center"/>
          </w:tcPr>
          <w:p>
            <w:pPr>
              <w:pStyle w:val="4"/>
              <w:numPr>
                <w:ilvl w:val="3"/>
                <w:numId w:val="0"/>
              </w:numPr>
              <w:jc w:val="center"/>
              <w:rPr>
                <w:rFonts w:hint="default" w:ascii="Times New Roman" w:hAnsi="Times New Roman" w:cs="Times New Roman"/>
                <w:sz w:val="28"/>
                <w:szCs w:val="28"/>
                <w:lang w:val="en-US"/>
              </w:rPr>
            </w:pPr>
          </w:p>
        </w:tc>
        <w:tc>
          <w:tcPr>
            <w:tcW w:w="2849" w:type="dxa"/>
            <w:vAlign w:val="center"/>
          </w:tcPr>
          <w:p>
            <w:pPr>
              <w:pStyle w:val="4"/>
              <w:numPr>
                <w:ilvl w:val="3"/>
                <w:numId w:val="0"/>
              </w:numPr>
              <w:jc w:val="center"/>
              <w:rPr>
                <w:rFonts w:hint="default" w:ascii="Times New Roman" w:hAnsi="Times New Roman" w:cs="Times New Roman"/>
                <w:sz w:val="28"/>
                <w:szCs w:val="28"/>
                <w:lang w:val="en-US"/>
              </w:rPr>
            </w:pPr>
          </w:p>
        </w:tc>
        <w:tc>
          <w:tcPr>
            <w:tcW w:w="1948" w:type="dxa"/>
            <w:vAlign w:val="center"/>
          </w:tcPr>
          <w:p>
            <w:pPr>
              <w:pStyle w:val="4"/>
              <w:numPr>
                <w:ilvl w:val="3"/>
                <w:numId w:val="0"/>
              </w:numPr>
              <w:jc w:val="center"/>
              <w:rPr>
                <w:rFonts w:hint="default" w:ascii="Times New Roman" w:hAnsi="Times New Roman" w:cs="Times New Roman"/>
                <w:sz w:val="28"/>
                <w:szCs w:val="28"/>
                <w:lang w:val="en-US"/>
              </w:rPr>
            </w:pPr>
          </w:p>
        </w:tc>
        <w:tc>
          <w:tcPr>
            <w:tcW w:w="1500" w:type="dxa"/>
            <w:vAlign w:val="center"/>
          </w:tcPr>
          <w:p>
            <w:pPr>
              <w:pStyle w:val="4"/>
              <w:numPr>
                <w:ilvl w:val="3"/>
                <w:numId w:val="0"/>
              </w:numPr>
              <w:jc w:val="center"/>
              <w:rPr>
                <w:rFonts w:hint="default" w:ascii="Times New Roman" w:hAnsi="Times New Roman" w:cs="Times New Roman"/>
                <w:sz w:val="28"/>
                <w:szCs w:val="28"/>
                <w:lang w:val="en-US"/>
              </w:rPr>
            </w:pPr>
          </w:p>
        </w:tc>
        <w:tc>
          <w:tcPr>
            <w:tcW w:w="1798" w:type="dxa"/>
            <w:vAlign w:val="center"/>
          </w:tcPr>
          <w:p>
            <w:pPr>
              <w:pStyle w:val="4"/>
              <w:numPr>
                <w:ilvl w:val="3"/>
                <w:numId w:val="0"/>
              </w:numPr>
              <w:jc w:val="center"/>
              <w:rPr>
                <w:rFonts w:hint="default" w:ascii="Times New Roman" w:hAnsi="Times New Roman" w:cs="Times New Roman"/>
                <w:sz w:val="28"/>
                <w:szCs w:val="2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0" w:hRule="atLeast"/>
        </w:trPr>
        <w:tc>
          <w:tcPr>
            <w:tcW w:w="750" w:type="dxa"/>
            <w:vAlign w:val="center"/>
          </w:tcPr>
          <w:p>
            <w:pPr>
              <w:pStyle w:val="4"/>
              <w:numPr>
                <w:ilvl w:val="3"/>
                <w:numId w:val="0"/>
              </w:numPr>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4</w:t>
            </w:r>
          </w:p>
        </w:tc>
        <w:tc>
          <w:tcPr>
            <w:tcW w:w="2098" w:type="dxa"/>
            <w:vAlign w:val="center"/>
          </w:tcPr>
          <w:p>
            <w:pPr>
              <w:pStyle w:val="4"/>
              <w:numPr>
                <w:ilvl w:val="3"/>
                <w:numId w:val="0"/>
              </w:numPr>
              <w:jc w:val="center"/>
              <w:rPr>
                <w:rFonts w:hint="default" w:ascii="Times New Roman" w:hAnsi="Times New Roman" w:cs="Times New Roman"/>
                <w:sz w:val="28"/>
                <w:szCs w:val="28"/>
                <w:lang w:val="en-US"/>
              </w:rPr>
            </w:pPr>
          </w:p>
        </w:tc>
        <w:tc>
          <w:tcPr>
            <w:tcW w:w="1798" w:type="dxa"/>
            <w:vAlign w:val="center"/>
          </w:tcPr>
          <w:p>
            <w:pPr>
              <w:pStyle w:val="4"/>
              <w:numPr>
                <w:ilvl w:val="3"/>
                <w:numId w:val="0"/>
              </w:numPr>
              <w:jc w:val="center"/>
              <w:rPr>
                <w:rFonts w:hint="default" w:ascii="Times New Roman" w:hAnsi="Times New Roman" w:cs="Times New Roman"/>
                <w:sz w:val="28"/>
                <w:szCs w:val="28"/>
                <w:lang w:val="en-US"/>
              </w:rPr>
            </w:pPr>
          </w:p>
        </w:tc>
        <w:tc>
          <w:tcPr>
            <w:tcW w:w="1799" w:type="dxa"/>
            <w:vAlign w:val="center"/>
          </w:tcPr>
          <w:p>
            <w:pPr>
              <w:pStyle w:val="4"/>
              <w:numPr>
                <w:ilvl w:val="3"/>
                <w:numId w:val="0"/>
              </w:numPr>
              <w:jc w:val="center"/>
              <w:rPr>
                <w:rFonts w:hint="default" w:ascii="Times New Roman" w:hAnsi="Times New Roman" w:cs="Times New Roman"/>
                <w:sz w:val="28"/>
                <w:szCs w:val="28"/>
                <w:lang w:val="en-US"/>
              </w:rPr>
            </w:pPr>
          </w:p>
        </w:tc>
        <w:tc>
          <w:tcPr>
            <w:tcW w:w="2849" w:type="dxa"/>
            <w:vAlign w:val="center"/>
          </w:tcPr>
          <w:p>
            <w:pPr>
              <w:pStyle w:val="4"/>
              <w:numPr>
                <w:ilvl w:val="3"/>
                <w:numId w:val="0"/>
              </w:numPr>
              <w:jc w:val="center"/>
              <w:rPr>
                <w:rFonts w:hint="default" w:ascii="Times New Roman" w:hAnsi="Times New Roman" w:cs="Times New Roman"/>
                <w:sz w:val="28"/>
                <w:szCs w:val="28"/>
                <w:lang w:val="en-US"/>
              </w:rPr>
            </w:pPr>
          </w:p>
        </w:tc>
        <w:tc>
          <w:tcPr>
            <w:tcW w:w="1948" w:type="dxa"/>
            <w:vAlign w:val="center"/>
          </w:tcPr>
          <w:p>
            <w:pPr>
              <w:pStyle w:val="4"/>
              <w:numPr>
                <w:ilvl w:val="3"/>
                <w:numId w:val="0"/>
              </w:numPr>
              <w:jc w:val="center"/>
              <w:rPr>
                <w:rFonts w:hint="default" w:ascii="Times New Roman" w:hAnsi="Times New Roman" w:cs="Times New Roman"/>
                <w:sz w:val="28"/>
                <w:szCs w:val="28"/>
                <w:lang w:val="en-US"/>
              </w:rPr>
            </w:pPr>
          </w:p>
        </w:tc>
        <w:tc>
          <w:tcPr>
            <w:tcW w:w="1500" w:type="dxa"/>
            <w:vAlign w:val="center"/>
          </w:tcPr>
          <w:p>
            <w:pPr>
              <w:pStyle w:val="4"/>
              <w:numPr>
                <w:ilvl w:val="3"/>
                <w:numId w:val="0"/>
              </w:numPr>
              <w:jc w:val="center"/>
              <w:rPr>
                <w:rFonts w:hint="default" w:ascii="Times New Roman" w:hAnsi="Times New Roman" w:cs="Times New Roman"/>
                <w:sz w:val="28"/>
                <w:szCs w:val="28"/>
                <w:lang w:val="en-US"/>
              </w:rPr>
            </w:pPr>
          </w:p>
        </w:tc>
        <w:tc>
          <w:tcPr>
            <w:tcW w:w="1798" w:type="dxa"/>
            <w:vAlign w:val="center"/>
          </w:tcPr>
          <w:p>
            <w:pPr>
              <w:pStyle w:val="4"/>
              <w:numPr>
                <w:ilvl w:val="3"/>
                <w:numId w:val="0"/>
              </w:numPr>
              <w:jc w:val="center"/>
              <w:rPr>
                <w:rFonts w:hint="default" w:ascii="Times New Roman" w:hAnsi="Times New Roman" w:cs="Times New Roman"/>
                <w:sz w:val="28"/>
                <w:szCs w:val="2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trPr>
        <w:tc>
          <w:tcPr>
            <w:tcW w:w="750" w:type="dxa"/>
            <w:vAlign w:val="center"/>
          </w:tcPr>
          <w:p>
            <w:pPr>
              <w:pStyle w:val="4"/>
              <w:numPr>
                <w:ilvl w:val="3"/>
                <w:numId w:val="0"/>
              </w:numPr>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w:t>
            </w:r>
          </w:p>
        </w:tc>
        <w:tc>
          <w:tcPr>
            <w:tcW w:w="2098" w:type="dxa"/>
            <w:vAlign w:val="center"/>
          </w:tcPr>
          <w:p>
            <w:pPr>
              <w:pStyle w:val="4"/>
              <w:numPr>
                <w:ilvl w:val="3"/>
                <w:numId w:val="0"/>
              </w:numPr>
              <w:jc w:val="center"/>
              <w:rPr>
                <w:rFonts w:hint="default" w:ascii="Times New Roman" w:hAnsi="Times New Roman" w:cs="Times New Roman"/>
                <w:sz w:val="28"/>
                <w:szCs w:val="28"/>
                <w:lang w:val="en-US"/>
              </w:rPr>
            </w:pPr>
          </w:p>
        </w:tc>
        <w:tc>
          <w:tcPr>
            <w:tcW w:w="1798" w:type="dxa"/>
            <w:vAlign w:val="center"/>
          </w:tcPr>
          <w:p>
            <w:pPr>
              <w:pStyle w:val="4"/>
              <w:numPr>
                <w:ilvl w:val="3"/>
                <w:numId w:val="0"/>
              </w:numPr>
              <w:jc w:val="center"/>
              <w:rPr>
                <w:rFonts w:hint="default" w:ascii="Times New Roman" w:hAnsi="Times New Roman" w:cs="Times New Roman"/>
                <w:sz w:val="28"/>
                <w:szCs w:val="28"/>
                <w:lang w:val="en-US"/>
              </w:rPr>
            </w:pPr>
          </w:p>
        </w:tc>
        <w:tc>
          <w:tcPr>
            <w:tcW w:w="1799" w:type="dxa"/>
            <w:vAlign w:val="center"/>
          </w:tcPr>
          <w:p>
            <w:pPr>
              <w:pStyle w:val="4"/>
              <w:numPr>
                <w:ilvl w:val="3"/>
                <w:numId w:val="0"/>
              </w:numPr>
              <w:jc w:val="center"/>
              <w:rPr>
                <w:rFonts w:hint="default" w:ascii="Times New Roman" w:hAnsi="Times New Roman" w:cs="Times New Roman"/>
                <w:sz w:val="28"/>
                <w:szCs w:val="28"/>
                <w:lang w:val="en-US"/>
              </w:rPr>
            </w:pPr>
          </w:p>
        </w:tc>
        <w:tc>
          <w:tcPr>
            <w:tcW w:w="2849" w:type="dxa"/>
            <w:vAlign w:val="center"/>
          </w:tcPr>
          <w:p>
            <w:pPr>
              <w:pStyle w:val="4"/>
              <w:numPr>
                <w:ilvl w:val="3"/>
                <w:numId w:val="0"/>
              </w:numPr>
              <w:jc w:val="center"/>
              <w:rPr>
                <w:rFonts w:hint="default" w:ascii="Times New Roman" w:hAnsi="Times New Roman" w:cs="Times New Roman"/>
                <w:sz w:val="28"/>
                <w:szCs w:val="28"/>
                <w:lang w:val="en-US"/>
              </w:rPr>
            </w:pPr>
          </w:p>
        </w:tc>
        <w:tc>
          <w:tcPr>
            <w:tcW w:w="1948" w:type="dxa"/>
            <w:vAlign w:val="center"/>
          </w:tcPr>
          <w:p>
            <w:pPr>
              <w:pStyle w:val="4"/>
              <w:numPr>
                <w:ilvl w:val="3"/>
                <w:numId w:val="0"/>
              </w:numPr>
              <w:jc w:val="center"/>
              <w:rPr>
                <w:rFonts w:hint="default" w:ascii="Times New Roman" w:hAnsi="Times New Roman" w:cs="Times New Roman"/>
                <w:sz w:val="28"/>
                <w:szCs w:val="28"/>
                <w:lang w:val="en-US"/>
              </w:rPr>
            </w:pPr>
          </w:p>
        </w:tc>
        <w:tc>
          <w:tcPr>
            <w:tcW w:w="1500" w:type="dxa"/>
            <w:vAlign w:val="center"/>
          </w:tcPr>
          <w:p>
            <w:pPr>
              <w:pStyle w:val="4"/>
              <w:numPr>
                <w:ilvl w:val="3"/>
                <w:numId w:val="0"/>
              </w:numPr>
              <w:jc w:val="center"/>
              <w:rPr>
                <w:rFonts w:hint="default" w:ascii="Times New Roman" w:hAnsi="Times New Roman" w:cs="Times New Roman"/>
                <w:sz w:val="28"/>
                <w:szCs w:val="28"/>
                <w:lang w:val="en-US"/>
              </w:rPr>
            </w:pPr>
          </w:p>
        </w:tc>
        <w:tc>
          <w:tcPr>
            <w:tcW w:w="1798" w:type="dxa"/>
            <w:vAlign w:val="center"/>
          </w:tcPr>
          <w:p>
            <w:pPr>
              <w:pStyle w:val="4"/>
              <w:numPr>
                <w:ilvl w:val="3"/>
                <w:numId w:val="0"/>
              </w:numPr>
              <w:jc w:val="center"/>
              <w:rPr>
                <w:rFonts w:hint="default" w:ascii="Times New Roman" w:hAnsi="Times New Roman" w:cs="Times New Roman"/>
                <w:sz w:val="28"/>
                <w:szCs w:val="28"/>
                <w:lang w:val="en-US"/>
              </w:rPr>
            </w:pPr>
          </w:p>
        </w:tc>
      </w:tr>
    </w:tbl>
    <w:p>
      <w:pPr>
        <w:spacing w:line="400" w:lineRule="exact"/>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黑体_GBK" w:cs="Times New Roman"/>
          <w:color w:val="000000"/>
          <w:kern w:val="0"/>
          <w:sz w:val="28"/>
          <w:szCs w:val="28"/>
        </w:rPr>
        <w:t>备注</w:t>
      </w:r>
      <w:r>
        <w:rPr>
          <w:rFonts w:hint="default" w:ascii="Times New Roman" w:hAnsi="Times New Roman" w:eastAsia="方正仿宋_GBK" w:cs="Times New Roman"/>
          <w:color w:val="000000"/>
          <w:kern w:val="0"/>
          <w:sz w:val="28"/>
          <w:szCs w:val="28"/>
        </w:rPr>
        <w:t>：1.每月20日前上报该表。</w:t>
      </w:r>
    </w:p>
    <w:p>
      <w:pPr>
        <w:numPr>
          <w:ilvl w:val="0"/>
          <w:numId w:val="2"/>
        </w:numPr>
        <w:spacing w:line="400" w:lineRule="exact"/>
        <w:ind w:firstLine="840" w:firstLineChars="300"/>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违法类别：（1）关闭无证退出矿山；（2）出让矿山无证采矿；</w:t>
      </w:r>
    </w:p>
    <w:p>
      <w:pPr>
        <w:numPr>
          <w:ilvl w:val="0"/>
          <w:numId w:val="3"/>
        </w:numPr>
        <w:spacing w:line="400" w:lineRule="exact"/>
        <w:ind w:firstLine="2520" w:firstLineChars="900"/>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修复矿山无证采矿；（4）矿山无证采矿；</w:t>
      </w:r>
    </w:p>
    <w:p>
      <w:pPr>
        <w:numPr>
          <w:ilvl w:val="0"/>
          <w:numId w:val="0"/>
        </w:numPr>
        <w:spacing w:line="400" w:lineRule="exact"/>
        <w:ind w:firstLine="2520" w:firstLineChars="9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kern w:val="0"/>
          <w:sz w:val="28"/>
          <w:szCs w:val="28"/>
        </w:rPr>
        <w:t>（5）干线无证采矿；</w:t>
      </w:r>
      <w:r>
        <w:rPr>
          <w:rFonts w:hint="default" w:ascii="Times New Roman" w:hAnsi="Times New Roman" w:cs="Times New Roman"/>
          <w:color w:val="000000"/>
          <w:kern w:val="0"/>
          <w:sz w:val="28"/>
          <w:szCs w:val="28"/>
          <w:lang w:val="en-US" w:eastAsia="zh-CN"/>
        </w:rPr>
        <w:t xml:space="preserve">    </w:t>
      </w:r>
      <w:r>
        <w:rPr>
          <w:rFonts w:hint="default" w:ascii="Times New Roman" w:hAnsi="Times New Roman" w:eastAsia="方正仿宋_GBK" w:cs="Times New Roman"/>
          <w:color w:val="000000"/>
          <w:kern w:val="0"/>
          <w:sz w:val="28"/>
          <w:szCs w:val="28"/>
        </w:rPr>
        <w:t>（</w:t>
      </w:r>
      <w:r>
        <w:rPr>
          <w:rFonts w:hint="default" w:ascii="Times New Roman" w:hAnsi="Times New Roman" w:cs="Times New Roman"/>
          <w:color w:val="000000"/>
          <w:kern w:val="0"/>
          <w:sz w:val="28"/>
          <w:szCs w:val="28"/>
          <w:lang w:val="en-US" w:eastAsia="zh-CN"/>
        </w:rPr>
        <w:t>6</w:t>
      </w:r>
      <w:r>
        <w:rPr>
          <w:rFonts w:hint="default" w:ascii="Times New Roman" w:hAnsi="Times New Roman" w:eastAsia="方正仿宋_GBK" w:cs="Times New Roman"/>
          <w:color w:val="000000"/>
          <w:kern w:val="0"/>
          <w:sz w:val="28"/>
          <w:szCs w:val="28"/>
        </w:rPr>
        <w:t>）其他无证采矿。</w:t>
      </w:r>
    </w:p>
    <w:p>
      <w:pPr>
        <w:spacing w:line="400" w:lineRule="exact"/>
        <w:ind w:firstLine="280" w:firstLineChars="100"/>
        <w:jc w:val="left"/>
        <w:rPr>
          <w:rFonts w:hint="default" w:ascii="Times New Roman" w:hAnsi="Times New Roman" w:cs="Times New Roman"/>
          <w:sz w:val="28"/>
          <w:szCs w:val="28"/>
        </w:rPr>
      </w:pPr>
      <w:r>
        <w:rPr>
          <w:rFonts w:hint="default" w:ascii="Times New Roman" w:hAnsi="Times New Roman" w:eastAsia="方正仿宋_GBK" w:cs="Times New Roman"/>
          <w:sz w:val="28"/>
          <w:szCs w:val="28"/>
        </w:rPr>
        <w:t>填报人：</w:t>
      </w:r>
      <w:r>
        <w:rPr>
          <w:rFonts w:hint="eastAsia" w:cs="Times New Roman"/>
          <w:sz w:val="28"/>
          <w:szCs w:val="28"/>
          <w:lang w:val="en-US" w:eastAsia="zh-CN"/>
        </w:rPr>
        <w:t xml:space="preserve">                                                         </w:t>
      </w:r>
      <w:r>
        <w:rPr>
          <w:rFonts w:hint="default" w:ascii="Times New Roman" w:hAnsi="Times New Roman" w:eastAsia="方正仿宋_GBK" w:cs="Times New Roman"/>
          <w:sz w:val="28"/>
          <w:szCs w:val="28"/>
        </w:rPr>
        <w:t>填报时间：</w:t>
      </w:r>
    </w:p>
    <w:p>
      <w:pPr>
        <w:pStyle w:val="4"/>
        <w:numPr>
          <w:ilvl w:val="3"/>
          <w:numId w:val="0"/>
        </w:numPr>
        <w:ind w:leftChars="0"/>
        <w:sectPr>
          <w:pgSz w:w="16838" w:h="11906" w:orient="landscape"/>
          <w:pgMar w:top="1134" w:right="1134" w:bottom="1134" w:left="1134" w:header="851" w:footer="1474" w:gutter="0"/>
          <w:cols w:space="720" w:num="1"/>
          <w:rtlGutter w:val="0"/>
          <w:docGrid w:linePitch="579" w:charSpace="-1024"/>
        </w:sectPr>
      </w:pPr>
    </w:p>
    <w:p>
      <w:pPr>
        <w:widowControl w:val="0"/>
        <w:wordWrap/>
        <w:adjustRightInd/>
        <w:ind w:left="0" w:leftChars="0" w:right="0" w:firstLine="0" w:firstLineChars="0"/>
        <w:jc w:val="both"/>
        <w:textAlignment w:val="auto"/>
        <w:rPr>
          <w:rFonts w:hint="eastAsia"/>
        </w:rPr>
      </w:pPr>
    </w:p>
    <w:p>
      <w:pPr>
        <w:widowControl w:val="0"/>
        <w:wordWrap/>
        <w:adjustRightInd/>
        <w:ind w:left="0" w:leftChars="0" w:right="0" w:firstLine="0" w:firstLineChars="0"/>
        <w:jc w:val="both"/>
        <w:textAlignment w:val="auto"/>
        <w:rPr>
          <w:rFonts w:hint="eastAsia"/>
        </w:rPr>
      </w:pPr>
    </w:p>
    <w:p>
      <w:pPr>
        <w:pStyle w:val="4"/>
        <w:widowControl w:val="0"/>
        <w:numPr>
          <w:ilvl w:val="3"/>
          <w:numId w:val="0"/>
        </w:numPr>
        <w:wordWrap/>
        <w:adjustRightInd/>
        <w:ind w:left="0" w:leftChars="0" w:right="0" w:firstLine="0" w:firstLineChars="0"/>
        <w:jc w:val="both"/>
        <w:textAlignment w:val="auto"/>
        <w:rPr>
          <w:rFonts w:hint="eastAsia"/>
        </w:rPr>
      </w:pPr>
    </w:p>
    <w:p>
      <w:pPr>
        <w:widowControl w:val="0"/>
        <w:wordWrap/>
        <w:adjustRightInd/>
        <w:ind w:left="0" w:leftChars="0" w:right="0" w:firstLine="0" w:firstLineChars="0"/>
        <w:jc w:val="both"/>
        <w:textAlignment w:val="auto"/>
        <w:rPr>
          <w:rFonts w:hint="eastAsia"/>
        </w:rPr>
      </w:pPr>
    </w:p>
    <w:p>
      <w:pPr>
        <w:pStyle w:val="4"/>
        <w:widowControl w:val="0"/>
        <w:numPr>
          <w:ilvl w:val="3"/>
          <w:numId w:val="0"/>
        </w:numPr>
        <w:wordWrap/>
        <w:adjustRightInd/>
        <w:ind w:left="0" w:leftChars="0" w:right="0" w:firstLine="0" w:firstLineChars="0"/>
        <w:jc w:val="both"/>
        <w:textAlignment w:val="auto"/>
        <w:rPr>
          <w:rFonts w:hint="eastAsia" w:eastAsia="方正仿宋_GBK"/>
          <w:lang w:eastAsia="zh-CN"/>
        </w:rPr>
      </w:pPr>
    </w:p>
    <w:p>
      <w:pPr>
        <w:widowControl w:val="0"/>
        <w:wordWrap/>
        <w:adjustRightInd/>
        <w:ind w:left="0" w:leftChars="0" w:right="0" w:firstLine="0" w:firstLineChars="0"/>
        <w:jc w:val="both"/>
        <w:textAlignment w:val="auto"/>
        <w:rPr>
          <w:rFonts w:hint="eastAsia" w:eastAsia="方正仿宋_GBK"/>
          <w:lang w:eastAsia="zh-CN"/>
        </w:rPr>
      </w:pPr>
    </w:p>
    <w:p>
      <w:pPr>
        <w:pStyle w:val="4"/>
        <w:widowControl w:val="0"/>
        <w:numPr>
          <w:ilvl w:val="3"/>
          <w:numId w:val="0"/>
        </w:numPr>
        <w:wordWrap/>
        <w:adjustRightInd/>
        <w:ind w:left="0" w:leftChars="0" w:right="0" w:firstLine="0" w:firstLineChars="0"/>
        <w:jc w:val="both"/>
        <w:textAlignment w:val="auto"/>
        <w:rPr>
          <w:rFonts w:hint="eastAsia"/>
          <w:lang w:eastAsia="zh-CN"/>
        </w:rPr>
      </w:pPr>
    </w:p>
    <w:p>
      <w:pPr>
        <w:widowControl w:val="0"/>
        <w:wordWrap/>
        <w:adjustRightInd/>
        <w:ind w:left="0" w:leftChars="0" w:right="0" w:firstLine="0" w:firstLineChars="0"/>
        <w:jc w:val="both"/>
        <w:textAlignment w:val="auto"/>
        <w:rPr>
          <w:rFonts w:hint="eastAsia"/>
          <w:lang w:eastAsia="zh-CN"/>
        </w:rPr>
      </w:pPr>
    </w:p>
    <w:p>
      <w:pPr>
        <w:widowControl w:val="0"/>
        <w:wordWrap/>
        <w:adjustRightInd/>
        <w:ind w:left="0" w:leftChars="0" w:right="0" w:firstLine="0" w:firstLineChars="0"/>
        <w:jc w:val="both"/>
        <w:textAlignment w:val="auto"/>
        <w:rPr>
          <w:rFonts w:hint="eastAsia"/>
        </w:rPr>
      </w:pPr>
    </w:p>
    <w:p>
      <w:pPr>
        <w:pStyle w:val="2"/>
        <w:widowControl w:val="0"/>
        <w:wordWrap/>
        <w:adjustRightInd/>
        <w:spacing w:before="0" w:after="0"/>
        <w:ind w:left="0" w:leftChars="0" w:right="0" w:firstLine="0" w:firstLineChars="0"/>
        <w:jc w:val="both"/>
        <w:textAlignment w:val="auto"/>
        <w:rPr>
          <w:rFonts w:hint="eastAsia"/>
        </w:rPr>
      </w:pPr>
    </w:p>
    <w:p>
      <w:pPr>
        <w:widowControl w:val="0"/>
        <w:wordWrap/>
        <w:adjustRightInd/>
        <w:ind w:left="0" w:leftChars="0" w:right="0" w:firstLine="0" w:firstLineChars="0"/>
        <w:jc w:val="both"/>
        <w:textAlignment w:val="auto"/>
        <w:rPr>
          <w:rFonts w:hint="eastAsia"/>
        </w:rPr>
      </w:pPr>
    </w:p>
    <w:p>
      <w:pPr>
        <w:rPr>
          <w:rFonts w:hint="eastAsia"/>
        </w:rPr>
      </w:pPr>
      <w:bookmarkStart w:id="0" w:name="_GoBack"/>
      <w:bookmarkEnd w:id="0"/>
    </w:p>
    <w:sectPr>
      <w:pgSz w:w="11906" w:h="16838"/>
      <w:pgMar w:top="2098" w:right="1474" w:bottom="1985" w:left="1588" w:header="851" w:footer="1474" w:gutter="0"/>
      <w:cols w:space="720" w:num="1"/>
      <w:docGrid w:linePitch="579"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Verdana">
    <w:panose1 w:val="020B0604030504040204"/>
    <w:charset w:val="00"/>
    <w:family w:val="auto"/>
    <w:pitch w:val="default"/>
    <w:sig w:usb0="A1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TimesNewRomanPSMT">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right"/>
      <w:rPr>
        <w:rFonts w:ascii="宋体" w:hAnsi="宋体"/>
        <w:sz w:val="28"/>
      </w:rPr>
    </w:pPr>
    <w:r>
      <w:rPr>
        <w:rFonts w:hint="eastAsia" w:ascii="仿宋_GB2312" w:hAnsi="宋体"/>
        <w:kern w:val="0"/>
        <w:sz w:val="28"/>
        <w:szCs w:val="21"/>
      </w:rPr>
      <w:t>—</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1</w:t>
    </w:r>
    <w:r>
      <w:rPr>
        <w:rFonts w:ascii="宋体" w:hAnsi="宋体"/>
        <w:kern w:val="0"/>
        <w:sz w:val="28"/>
        <w:szCs w:val="21"/>
      </w:rPr>
      <w:fldChar w:fldCharType="end"/>
    </w:r>
    <w:r>
      <w:rPr>
        <w:rFonts w:hint="eastAsia" w:ascii="仿宋_GB2312" w:hAnsi="宋体"/>
        <w:kern w:val="0"/>
        <w:sz w:val="28"/>
        <w:szCs w:val="2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rFonts w:ascii="宋体" w:hAnsi="宋体"/>
        <w:sz w:val="28"/>
      </w:rPr>
    </w:pPr>
    <w:r>
      <w:rPr>
        <w:rFonts w:ascii="宋体" w:hAnsi="宋体"/>
        <w:kern w:val="0"/>
        <w:sz w:val="28"/>
        <w:szCs w:val="21"/>
      </w:rPr>
      <w:t>―</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2</w:t>
    </w:r>
    <w:r>
      <w:rPr>
        <w:rFonts w:ascii="宋体" w:hAnsi="宋体"/>
        <w:kern w:val="0"/>
        <w:sz w:val="28"/>
        <w:szCs w:val="21"/>
      </w:rPr>
      <w:fldChar w:fldCharType="end"/>
    </w:r>
    <w:r>
      <w:rPr>
        <w:rFonts w:ascii="宋体" w:hAnsi="宋体"/>
        <w:kern w:val="0"/>
        <w:sz w:val="28"/>
        <w:szCs w:val="21"/>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lvl w:ilvl="0" w:tentative="0">
      <w:start w:val="2"/>
      <w:numFmt w:val="decimal"/>
      <w:suff w:val="nothing"/>
      <w:lvlText w:val="%1."/>
      <w:lvlJc w:val="left"/>
    </w:lvl>
  </w:abstractNum>
  <w:abstractNum w:abstractNumId="1">
    <w:nsid w:val="0000000D"/>
    <w:multiLevelType w:val="singleLevel"/>
    <w:tmpl w:val="0000000D"/>
    <w:lvl w:ilvl="0" w:tentative="0">
      <w:start w:val="3"/>
      <w:numFmt w:val="decimal"/>
      <w:suff w:val="nothing"/>
      <w:lvlText w:val="（%1）"/>
      <w:lvlJc w:val="left"/>
    </w:lvl>
  </w:abstractNum>
  <w:abstractNum w:abstractNumId="2">
    <w:nsid w:val="0000000E"/>
    <w:multiLevelType w:val="multilevel"/>
    <w:tmpl w:val="0000000E"/>
    <w:lvl w:ilvl="0" w:tentative="0">
      <w:start w:val="1"/>
      <w:numFmt w:val="decimal"/>
      <w:lvlText w:val="%1"/>
      <w:lvlJc w:val="left"/>
      <w:pPr>
        <w:ind w:left="432" w:hanging="432"/>
      </w:pPr>
      <w:rPr>
        <w:rFonts w:hint="eastAsia"/>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4"/>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315"/>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206A7C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eastAsia="宋体" w:cs="宋体"/>
      <w:b/>
      <w:bCs/>
      <w:kern w:val="0"/>
      <w:sz w:val="27"/>
      <w:szCs w:val="27"/>
    </w:rPr>
  </w:style>
  <w:style w:type="paragraph" w:styleId="4">
    <w:name w:val="heading 4"/>
    <w:basedOn w:val="1"/>
    <w:next w:val="1"/>
    <w:qFormat/>
    <w:uiPriority w:val="0"/>
    <w:pPr>
      <w:numPr>
        <w:ilvl w:val="3"/>
        <w:numId w:val="1"/>
      </w:numPr>
      <w:outlineLvl w:val="3"/>
    </w:pPr>
    <w:rPr>
      <w:rFonts w:ascii="方正仿宋_GBK" w:hAnsi="方正仿宋_GBK" w:eastAsia="方正仿宋_GBK"/>
      <w:bCs/>
      <w:sz w:val="32"/>
      <w:szCs w:val="32"/>
      <w:lang w:val="zh-CN"/>
    </w:rPr>
  </w:style>
  <w:style w:type="character" w:default="1" w:styleId="10">
    <w:name w:val="Default Paragraph Font"/>
    <w:qFormat/>
    <w:uiPriority w:val="0"/>
    <w:rPr>
      <w:szCs w:val="24"/>
    </w:rPr>
  </w:style>
  <w:style w:type="table" w:default="1" w:styleId="9">
    <w:name w:val="Normal Table"/>
    <w:semiHidden/>
    <w:uiPriority w:val="0"/>
    <w:tblPr>
      <w:tblLayout w:type="fixed"/>
      <w:tblCellMar>
        <w:top w:w="0" w:type="dxa"/>
        <w:left w:w="108" w:type="dxa"/>
        <w:bottom w:w="0" w:type="dxa"/>
        <w:right w:w="108" w:type="dxa"/>
      </w:tblCellMar>
    </w:tblPr>
  </w:style>
  <w:style w:type="paragraph" w:styleId="5">
    <w:name w:val="Body Text"/>
    <w:basedOn w:val="1"/>
    <w:qFormat/>
    <w:uiPriority w:val="0"/>
    <w:pPr>
      <w:spacing w:beforeLines="150" w:afterLines="200"/>
    </w:pPr>
    <w:rPr>
      <w:rFonts w:ascii="黑体" w:hAnsi="宋体" w:eastAsia="黑体"/>
      <w:sz w:val="36"/>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0"/>
    <w:pPr>
      <w:spacing w:before="240" w:after="60" w:line="520" w:lineRule="exact"/>
      <w:ind w:firstLineChars="0"/>
      <w:jc w:val="center"/>
      <w:outlineLvl w:val="0"/>
    </w:pPr>
    <w:rPr>
      <w:rFonts w:ascii="Calibri Light" w:hAnsi="Calibri Light" w:eastAsia="方正小标宋_GBK" w:cs="Times New Roman"/>
      <w:bCs/>
      <w:sz w:val="44"/>
      <w:szCs w:val="32"/>
    </w:rPr>
  </w:style>
  <w:style w:type="paragraph" w:customStyle="1" w:styleId="11">
    <w:name w:val="Body Text 2"/>
    <w:basedOn w:val="1"/>
    <w:qFormat/>
    <w:uiPriority w:val="0"/>
    <w:pPr>
      <w:snapToGrid w:val="0"/>
      <w:spacing w:line="540" w:lineRule="exact"/>
    </w:pPr>
    <w:rPr>
      <w:rFonts w:eastAsia="方正仿宋_GBK"/>
      <w:color w:val="000000"/>
    </w:rPr>
  </w:style>
  <w:style w:type="paragraph" w:customStyle="1" w:styleId="12">
    <w:name w:val="Normal Indent"/>
    <w:basedOn w:val="1"/>
    <w:qFormat/>
    <w:uiPriority w:val="0"/>
    <w:pPr>
      <w:ind w:firstLine="200" w:firstLineChars="200"/>
    </w:pPr>
    <w:rPr>
      <w:rFonts w:ascii="Times New Roman" w:hAnsi="Times New Roman"/>
    </w:rPr>
  </w:style>
  <w:style w:type="paragraph" w:customStyle="1" w:styleId="13">
    <w:name w:val="Message Header"/>
    <w:basedOn w:val="1"/>
    <w:next w:val="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customStyle="1" w:styleId="14">
    <w:name w:val="HTML Address"/>
    <w:basedOn w:val="1"/>
    <w:qFormat/>
    <w:uiPriority w:val="0"/>
    <w:pPr>
      <w:widowControl/>
      <w:spacing w:before="100" w:beforeAutospacing="1" w:after="100" w:afterAutospacing="1"/>
      <w:jc w:val="left"/>
    </w:pPr>
    <w:rPr>
      <w:rFonts w:ascii="宋体" w:hAnsi="宋体" w:cs="宋体"/>
      <w:kern w:val="0"/>
      <w:sz w:val="24"/>
    </w:rPr>
  </w:style>
  <w:style w:type="paragraph" w:customStyle="1" w:styleId="15">
    <w:name w:val="Body Text Indent"/>
    <w:basedOn w:val="1"/>
    <w:qFormat/>
    <w:uiPriority w:val="0"/>
    <w:pPr>
      <w:spacing w:line="360" w:lineRule="atLeast"/>
      <w:ind w:firstLine="555"/>
    </w:pPr>
    <w:rPr>
      <w:rFonts w:ascii="Verdana" w:hAnsi="Verdana"/>
    </w:rPr>
  </w:style>
  <w:style w:type="paragraph" w:customStyle="1" w:styleId="16">
    <w:name w:val="Date"/>
    <w:basedOn w:val="1"/>
    <w:next w:val="1"/>
    <w:qFormat/>
    <w:uiPriority w:val="0"/>
    <w:pPr>
      <w:ind w:left="100" w:leftChars="2500"/>
    </w:pPr>
  </w:style>
  <w:style w:type="paragraph" w:customStyle="1" w:styleId="17">
    <w:name w:val="Body Text Indent 2"/>
    <w:basedOn w:val="1"/>
    <w:qFormat/>
    <w:uiPriority w:val="0"/>
    <w:pPr>
      <w:spacing w:line="540" w:lineRule="exact"/>
      <w:ind w:firstLine="640" w:firstLineChars="200"/>
    </w:pPr>
    <w:rPr>
      <w:color w:val="000000"/>
    </w:rPr>
  </w:style>
  <w:style w:type="paragraph" w:customStyle="1" w:styleId="18">
    <w:name w:val="Body Text Indent 3"/>
    <w:basedOn w:val="1"/>
    <w:qFormat/>
    <w:uiPriority w:val="0"/>
    <w:pPr>
      <w:ind w:firstLine="720" w:firstLineChars="225"/>
    </w:pPr>
  </w:style>
  <w:style w:type="paragraph" w:customStyle="1" w:styleId="1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无间隔1"/>
    <w:qFormat/>
    <w:uiPriority w:val="0"/>
    <w:pPr>
      <w:adjustRightInd w:val="0"/>
      <w:snapToGrid w:val="0"/>
    </w:pPr>
    <w:rPr>
      <w:rFonts w:ascii="Tahoma" w:hAnsi="Tahoma" w:eastAsia="微软雅黑" w:cs="黑体"/>
      <w:sz w:val="22"/>
      <w:szCs w:val="22"/>
      <w:lang w:val="en-US" w:eastAsia="zh-CN" w:bidi="ar-SA"/>
    </w:rPr>
  </w:style>
  <w:style w:type="paragraph" w:customStyle="1" w:styleId="21">
    <w:name w:val="UserStyle_1"/>
    <w:basedOn w:val="1"/>
    <w:qFormat/>
    <w:uiPriority w:val="0"/>
    <w:pPr>
      <w:widowControl/>
      <w:jc w:val="left"/>
      <w:textAlignment w:val="baseline"/>
    </w:pPr>
    <w:rPr>
      <w:kern w:val="0"/>
      <w:sz w:val="24"/>
      <w:szCs w:val="24"/>
    </w:rPr>
  </w:style>
  <w:style w:type="paragraph" w:customStyle="1" w:styleId="22">
    <w:name w:val="UserStyle_2"/>
    <w:qFormat/>
    <w:uiPriority w:val="0"/>
    <w:pPr>
      <w:textAlignment w:val="baseline"/>
    </w:pPr>
    <w:rPr>
      <w:rFonts w:ascii="Times New Roman" w:hAnsi="Times New Roman" w:eastAsia="宋体" w:cs="Times New Roman"/>
      <w:color w:val="000000"/>
      <w:sz w:val="24"/>
      <w:szCs w:val="24"/>
      <w:lang w:val="en-US" w:eastAsia="zh-CN" w:bidi="ar-SA"/>
    </w:rPr>
  </w:style>
  <w:style w:type="paragraph" w:customStyle="1" w:styleId="23">
    <w:name w:val="index 7"/>
    <w:basedOn w:val="1"/>
    <w:next w:val="1"/>
    <w:qFormat/>
    <w:uiPriority w:val="0"/>
    <w:pPr>
      <w:ind w:left="1200" w:leftChars="1200"/>
    </w:pPr>
  </w:style>
  <w:style w:type="paragraph" w:customStyle="1" w:styleId="24">
    <w:name w:val="BodyText"/>
    <w:basedOn w:val="1"/>
    <w:next w:val="1"/>
    <w:qFormat/>
    <w:uiPriority w:val="0"/>
    <w:pPr>
      <w:widowControl/>
      <w:spacing w:after="120"/>
      <w:textAlignment w:val="baseline"/>
    </w:pPr>
    <w:rPr>
      <w:rFonts w:ascii="Times New Roman" w:hAnsi="Times New Roman" w:eastAsia="方正黑体_GBK"/>
      <w:sz w:val="32"/>
      <w:szCs w:val="24"/>
    </w:rPr>
  </w:style>
  <w:style w:type="paragraph" w:customStyle="1" w:styleId="25">
    <w:name w:val="UserStyle_5"/>
    <w:qFormat/>
    <w:uiPriority w:val="0"/>
    <w:pPr>
      <w:jc w:val="both"/>
      <w:textAlignment w:val="baseline"/>
    </w:pPr>
    <w:rPr>
      <w:rFonts w:ascii="Times New Roman" w:hAnsi="Times New Roman" w:eastAsia="Times New Roman" w:cs="Times New Roman"/>
      <w:sz w:val="21"/>
      <w:szCs w:val="22"/>
      <w:lang w:val="en-US" w:eastAsia="zh-CN" w:bidi="ar-SA"/>
    </w:rPr>
  </w:style>
  <w:style w:type="character" w:customStyle="1" w:styleId="26">
    <w:name w:val="page number"/>
    <w:basedOn w:val="10"/>
    <w:qFormat/>
    <w:uiPriority w:val="0"/>
  </w:style>
  <w:style w:type="character" w:customStyle="1" w:styleId="27">
    <w:name w:val="font31"/>
    <w:basedOn w:val="10"/>
    <w:qFormat/>
    <w:uiPriority w:val="0"/>
    <w:rPr>
      <w:rFonts w:hint="eastAsia" w:ascii="方正仿宋_GBK" w:hAnsi="方正仿宋_GBK" w:eastAsia="方正仿宋_GBK" w:cs="方正仿宋_GBK"/>
      <w:color w:val="000000"/>
      <w:sz w:val="24"/>
      <w:szCs w:val="24"/>
      <w:u w:val="none"/>
    </w:rPr>
  </w:style>
  <w:style w:type="character" w:customStyle="1" w:styleId="28">
    <w:name w:val="font81"/>
    <w:basedOn w:val="10"/>
    <w:qFormat/>
    <w:uiPriority w:val="0"/>
    <w:rPr>
      <w:rFonts w:ascii="方正仿宋_GBK" w:hAnsi="方正仿宋_GBK" w:eastAsia="方正仿宋_GBK" w:cs="方正仿宋_GBK"/>
      <w:color w:val="000000"/>
      <w:sz w:val="24"/>
      <w:szCs w:val="24"/>
      <w:u w:val="none"/>
    </w:rPr>
  </w:style>
  <w:style w:type="character" w:customStyle="1" w:styleId="29">
    <w:name w:val="font01"/>
    <w:basedOn w:val="10"/>
    <w:qFormat/>
    <w:uiPriority w:val="0"/>
    <w:rPr>
      <w:rFonts w:ascii="方正仿宋_GBK" w:hAnsi="方正仿宋_GBK" w:eastAsia="方正仿宋_GBK" w:cs="方正仿宋_GBK"/>
      <w:color w:val="000000"/>
      <w:sz w:val="24"/>
      <w:szCs w:val="24"/>
      <w:u w:val="none"/>
    </w:rPr>
  </w:style>
  <w:style w:type="character" w:customStyle="1" w:styleId="30">
    <w:name w:val="NormalCharacter"/>
    <w:qFormat/>
    <w:uiPriority w:val="0"/>
    <w:rPr>
      <w:rFonts w:eastAsia="宋体"/>
      <w:kern w:val="2"/>
      <w:sz w:val="21"/>
      <w:szCs w:val="24"/>
      <w:lang w:val="en-US" w:eastAsia="zh-CN" w:bidi="ar-SA"/>
    </w:rPr>
  </w:style>
  <w:style w:type="character" w:customStyle="1" w:styleId="31">
    <w:name w:val="fontstyle01"/>
    <w:basedOn w:val="10"/>
    <w:qFormat/>
    <w:uiPriority w:val="0"/>
    <w:rPr>
      <w:rFonts w:hint="default" w:ascii="TimesNewRomanPSMT" w:hAnsi="TimesNewRomanPSMT"/>
      <w:color w:val="000000"/>
      <w:sz w:val="32"/>
      <w:szCs w:val="32"/>
    </w:rPr>
  </w:style>
  <w:style w:type="paragraph" w:customStyle="1" w:styleId="32">
    <w:name w:val="Default"/>
    <w:uiPriority w:val="0"/>
    <w:pPr>
      <w:widowControl w:val="0"/>
      <w:autoSpaceDE w:val="0"/>
      <w:autoSpaceDN w:val="0"/>
      <w:adjustRightInd w:val="0"/>
    </w:pPr>
    <w:rPr>
      <w:rFonts w:ascii="Calibri" w:hAnsi="Calibri" w:eastAsia="Times New Roman"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文件材料模板.wpt</Template>
  <Pages>1</Pages>
  <Words>0</Words>
  <Characters>0</Characters>
  <Lines>3</Lines>
  <Paragraphs>1</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2020-09-03T00:29:00Z</dcterms:created>
  <dc:creator>ZFB-DZS-1</dc:creator>
  <cp:lastModifiedBy>jql</cp:lastModifiedBy>
  <cp:lastPrinted>2020-09-03T02:45:00Z</cp:lastPrinted>
  <dcterms:modified xsi:type="dcterms:W3CDTF">2021-12-06T01:34:59Z</dcterms:modified>
  <dc:title>ZFB-DZS-1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