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kern w:val="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重庆市南川区人民政府</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关于印发</w:t>
      </w:r>
      <w:r>
        <w:rPr>
          <w:rFonts w:hint="eastAsia" w:ascii="方正小标宋_GBK" w:hAnsi="Times New Roman" w:eastAsia="方正小标宋_GBK" w:cs="Times New Roman"/>
          <w:sz w:val="44"/>
          <w:szCs w:val="44"/>
          <w:lang w:eastAsia="zh-CN"/>
        </w:rPr>
        <w:t>《</w:t>
      </w:r>
      <w:r>
        <w:rPr>
          <w:rFonts w:hint="eastAsia" w:ascii="方正小标宋_GBK" w:hAnsi="Times New Roman" w:eastAsia="方正小标宋_GBK" w:cs="Times New Roman"/>
          <w:sz w:val="44"/>
          <w:szCs w:val="44"/>
        </w:rPr>
        <w:t>重庆市南川区集体土地征收补偿</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安置实施办法</w:t>
      </w:r>
      <w:r>
        <w:rPr>
          <w:rFonts w:hint="eastAsia" w:ascii="方正小标宋_GBK" w:hAnsi="Times New Roman" w:eastAsia="方正小标宋_GBK" w:cs="Times New Roman"/>
          <w:sz w:val="44"/>
          <w:szCs w:val="44"/>
          <w:lang w:eastAsia="zh-CN"/>
        </w:rPr>
        <w:t>》</w:t>
      </w:r>
      <w:r>
        <w:rPr>
          <w:rFonts w:hint="eastAsia" w:ascii="方正小标宋_GBK" w:hAnsi="Times New Roman" w:eastAsia="方正小标宋_GBK" w:cs="Times New Roman"/>
          <w:sz w:val="44"/>
          <w:szCs w:val="44"/>
        </w:rPr>
        <w:t>的通知</w:t>
      </w:r>
    </w:p>
    <w:p>
      <w:pPr>
        <w:tabs>
          <w:tab w:val="left" w:pos="7560"/>
          <w:tab w:val="left" w:pos="7740"/>
        </w:tabs>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南川府发〔20</w:t>
      </w:r>
      <w:r>
        <w:rPr>
          <w:rFonts w:hint="default" w:ascii="Times New Roman" w:hAnsi="Times New Roman" w:cs="Times New Roman"/>
          <w:sz w:val="32"/>
          <w:szCs w:val="32"/>
          <w:lang w:val="en-US" w:eastAsia="zh-CN"/>
        </w:rPr>
        <w:t>2</w:t>
      </w:r>
      <w:r>
        <w:rPr>
          <w:rFonts w:hint="eastAsia" w:cs="Times New Roman"/>
          <w:sz w:val="32"/>
          <w:szCs w:val="32"/>
          <w:lang w:val="en-US" w:eastAsia="zh-CN"/>
        </w:rPr>
        <w:t>1</w:t>
      </w:r>
      <w:r>
        <w:rPr>
          <w:rFonts w:hint="default" w:ascii="Times New Roman" w:hAnsi="Times New Roman" w:eastAsia="方正仿宋_GBK" w:cs="Times New Roman"/>
          <w:sz w:val="32"/>
          <w:szCs w:val="32"/>
        </w:rPr>
        <w:t>〕</w:t>
      </w:r>
      <w:r>
        <w:rPr>
          <w:rFonts w:hint="eastAsia" w:cs="Times New Roman"/>
          <w:sz w:val="32"/>
          <w:szCs w:val="32"/>
          <w:lang w:val="en-US" w:eastAsia="zh-CN"/>
        </w:rPr>
        <w:t>8</w:t>
      </w:r>
      <w:r>
        <w:rPr>
          <w:rFonts w:hint="default" w:ascii="Times New Roman" w:hAnsi="Times New Roman" w:eastAsia="方正仿宋_GBK" w:cs="Times New Roman"/>
          <w:sz w:val="32"/>
          <w:szCs w:val="32"/>
        </w:rPr>
        <w:t>号</w:t>
      </w:r>
    </w:p>
    <w:p>
      <w:pPr>
        <w:spacing w:line="560" w:lineRule="exact"/>
        <w:rPr>
          <w:rFonts w:hint="eastAsia" w:ascii="方正小标宋简体" w:eastAsia="方正小标宋简体"/>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eastAsia="zh-CN"/>
        </w:rPr>
        <w:t>现将</w:t>
      </w:r>
      <w:r>
        <w:rPr>
          <w:rFonts w:hint="default" w:ascii="Times New Roman" w:hAnsi="Times New Roman" w:eastAsia="方正仿宋_GBK" w:cs="Times New Roman"/>
          <w:sz w:val="32"/>
          <w:szCs w:val="32"/>
        </w:rPr>
        <w:t>《重庆市南川区集体土地征收补偿安置实施办法》印发</w:t>
      </w:r>
      <w:r>
        <w:rPr>
          <w:rFonts w:hint="eastAsia" w:eastAsia="方正仿宋_GBK" w:cs="Times New Roman"/>
          <w:sz w:val="32"/>
          <w:szCs w:val="32"/>
          <w:lang w:eastAsia="zh-CN"/>
        </w:rPr>
        <w:t>给</w:t>
      </w:r>
      <w:r>
        <w:rPr>
          <w:rFonts w:hint="default" w:ascii="Times New Roman" w:hAnsi="Times New Roman" w:eastAsia="方正仿宋_GBK" w:cs="Times New Roman"/>
          <w:sz w:val="32"/>
          <w:szCs w:val="32"/>
        </w:rPr>
        <w:t>你们，请遵照执行。</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val="0"/>
        <w:spacing w:line="600" w:lineRule="exact"/>
        <w:ind w:right="0" w:rightChars="0"/>
        <w:jc w:val="righ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重庆市南川区人民政府</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tabs>
          <w:tab w:val="left" w:pos="7245"/>
          <w:tab w:val="left" w:pos="7560"/>
        </w:tabs>
        <w:kinsoku/>
        <w:wordWrap/>
        <w:overflowPunct/>
        <w:topLinePunct w:val="0"/>
        <w:autoSpaceDE/>
        <w:autoSpaceDN/>
        <w:bidi w:val="0"/>
        <w:adjustRightInd/>
        <w:snapToGrid w:val="0"/>
        <w:spacing w:line="600" w:lineRule="exact"/>
        <w:ind w:left="0" w:leftChars="0" w:right="0" w:rightChars="0" w:firstLine="63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rPr>
        <w:t>年</w:t>
      </w:r>
      <w:r>
        <w:rPr>
          <w:rFonts w:hint="eastAsia" w:ascii="Times New Roman" w:hAnsi="Times New Roman"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30</w:t>
      </w:r>
      <w:r>
        <w:rPr>
          <w:rFonts w:hint="default" w:ascii="Times New Roman" w:hAnsi="Times New Roman" w:eastAsia="方正仿宋_GBK" w:cs="Times New Roman"/>
          <w:sz w:val="32"/>
          <w:szCs w:val="32"/>
        </w:rPr>
        <w:t>日</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widowControl w:val="0"/>
        <w:wordWrap/>
        <w:adjustRightInd/>
        <w:spacing w:line="600" w:lineRule="exact"/>
        <w:ind w:left="0" w:leftChars="0" w:right="0"/>
        <w:jc w:val="both"/>
        <w:outlineLvl w:val="9"/>
        <w:rPr>
          <w:rFonts w:hint="default" w:ascii="Times New Roman" w:hAnsi="Times New Roman" w:eastAsia="方正小标宋_GBK" w:cs="Times New Roman"/>
          <w:sz w:val="44"/>
          <w:szCs w:val="44"/>
        </w:rPr>
      </w:pPr>
    </w:p>
    <w:p>
      <w:pPr>
        <w:widowControl w:val="0"/>
        <w:wordWrap/>
        <w:adjustRightInd/>
        <w:spacing w:line="600" w:lineRule="exact"/>
        <w:ind w:left="0" w:leftChars="0" w:right="0"/>
        <w:jc w:val="center"/>
        <w:outlineLvl w:val="9"/>
        <w:rPr>
          <w:rFonts w:hint="default" w:ascii="Times New Roman" w:hAnsi="Times New Roman" w:eastAsia="方正小标宋_GBK" w:cs="Times New Roman"/>
          <w:sz w:val="44"/>
          <w:szCs w:val="44"/>
        </w:rPr>
      </w:pPr>
    </w:p>
    <w:p>
      <w:pPr>
        <w:pStyle w:val="8"/>
        <w:rPr>
          <w:rFonts w:hint="default" w:ascii="Times New Roman" w:hAnsi="Times New Roman" w:eastAsia="方正小标宋_GBK" w:cs="Times New Roman"/>
          <w:sz w:val="44"/>
          <w:szCs w:val="44"/>
        </w:rPr>
      </w:pPr>
    </w:p>
    <w:p>
      <w:pPr>
        <w:pStyle w:val="8"/>
        <w:rPr>
          <w:rFonts w:hint="default" w:ascii="Times New Roman" w:hAnsi="Times New Roman" w:eastAsia="方正小标宋_GBK" w:cs="Times New Roman"/>
          <w:sz w:val="44"/>
          <w:szCs w:val="44"/>
        </w:rPr>
      </w:pPr>
    </w:p>
    <w:p>
      <w:pPr>
        <w:pStyle w:val="8"/>
        <w:rPr>
          <w:rFonts w:hint="default" w:ascii="Times New Roman" w:hAnsi="Times New Roman" w:eastAsia="方正小标宋_GBK" w:cs="Times New Roman"/>
          <w:sz w:val="44"/>
          <w:szCs w:val="44"/>
        </w:rPr>
      </w:pPr>
    </w:p>
    <w:p>
      <w:pPr>
        <w:pStyle w:val="8"/>
        <w:rPr>
          <w:rFonts w:hint="default" w:ascii="Times New Roman" w:hAnsi="Times New Roman" w:eastAsia="方正小标宋_GBK" w:cs="Times New Roman"/>
          <w:sz w:val="44"/>
          <w:szCs w:val="44"/>
        </w:rPr>
      </w:pPr>
    </w:p>
    <w:p>
      <w:pPr>
        <w:widowControl w:val="0"/>
        <w:wordWrap/>
        <w:adjustRightInd/>
        <w:spacing w:line="600" w:lineRule="exact"/>
        <w:ind w:left="0" w:leftChars="0" w:right="0"/>
        <w:jc w:val="center"/>
        <w:outlineLvl w:val="9"/>
        <w:rPr>
          <w:rFonts w:hint="default" w:ascii="Times New Roman" w:hAnsi="Times New Roman" w:eastAsia="方正小标宋_GBK" w:cs="Times New Roman"/>
          <w:sz w:val="44"/>
          <w:szCs w:val="44"/>
        </w:rPr>
      </w:pPr>
    </w:p>
    <w:p>
      <w:pPr>
        <w:pStyle w:val="2"/>
        <w:keepNext w:val="0"/>
        <w:keepLines w:val="0"/>
        <w:pageBreakBefore w:val="0"/>
        <w:widowControl w:val="0"/>
        <w:kinsoku/>
        <w:wordWrap/>
        <w:overflowPunct/>
        <w:topLinePunct w:val="0"/>
        <w:bidi w:val="0"/>
        <w:snapToGrid/>
        <w:spacing w:before="0" w:beforeAutospacing="0" w:after="0" w:afterAutospacing="0" w:line="56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rPr>
      </w:pPr>
    </w:p>
    <w:p>
      <w:pPr>
        <w:pStyle w:val="2"/>
        <w:keepNext w:val="0"/>
        <w:keepLines w:val="0"/>
        <w:pageBreakBefore w:val="0"/>
        <w:widowControl w:val="0"/>
        <w:kinsoku/>
        <w:wordWrap/>
        <w:overflowPunct/>
        <w:topLinePunct w:val="0"/>
        <w:bidi w:val="0"/>
        <w:snapToGrid/>
        <w:spacing w:before="0" w:beforeAutospacing="0" w:after="0" w:afterAutospacing="0" w:line="56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rPr>
      </w:pPr>
    </w:p>
    <w:p>
      <w:pPr>
        <w:pStyle w:val="2"/>
        <w:keepNext w:val="0"/>
        <w:keepLines w:val="0"/>
        <w:pageBreakBefore w:val="0"/>
        <w:widowControl w:val="0"/>
        <w:kinsoku/>
        <w:wordWrap/>
        <w:overflowPunct/>
        <w:topLinePunct w:val="0"/>
        <w:bidi w:val="0"/>
        <w:snapToGrid/>
        <w:spacing w:before="0" w:beforeAutospacing="0" w:after="0" w:afterAutospacing="0" w:line="560" w:lineRule="exact"/>
        <w:ind w:left="0" w:leftChars="0" w:right="0" w:rightChars="0" w:firstLine="0" w:firstLineChars="0"/>
        <w:jc w:val="center"/>
        <w:textAlignment w:val="auto"/>
        <w:rPr>
          <w:rFonts w:hint="eastAsia" w:ascii="方正黑体_GBK" w:hAnsi="方正黑体_GBK" w:eastAsia="方正黑体_GBK" w:cs="方正黑体_GBK"/>
          <w:bCs/>
        </w:rPr>
      </w:pPr>
      <w:r>
        <w:rPr>
          <w:rFonts w:hint="eastAsia" w:ascii="方正小标宋_GBK" w:hAnsi="方正小标宋_GBK" w:eastAsia="方正小标宋_GBK" w:cs="方正小标宋_GBK"/>
          <w:b w:val="0"/>
          <w:bCs w:val="0"/>
        </w:rPr>
        <w:t>重庆市南川区集体土地征收补偿安置实施办法</w:t>
      </w:r>
    </w:p>
    <w:p>
      <w:pPr>
        <w:keepNext w:val="0"/>
        <w:keepLines w:val="0"/>
        <w:pageBreakBefore w:val="0"/>
        <w:widowControl w:val="0"/>
        <w:kinsoku/>
        <w:wordWrap/>
        <w:overflowPunct/>
        <w:topLinePunct w:val="0"/>
        <w:autoSpaceDE/>
        <w:autoSpaceDN/>
        <w:bidi w:val="0"/>
        <w:adjustRightInd/>
        <w:snapToGrid w:val="0"/>
        <w:spacing w:before="581" w:beforeLines="100" w:after="581" w:afterLines="100" w:line="600" w:lineRule="exact"/>
        <w:ind w:left="0" w:leftChars="0" w:right="0" w:rightChars="0" w:firstLine="0" w:firstLine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ascii="Times New Roman" w:hAnsi="Times New Roman" w:eastAsia="方正仿宋_GBK" w:cs="Times New Roman"/>
          <w:sz w:val="32"/>
          <w:szCs w:val="32"/>
        </w:rPr>
        <w:t xml:space="preserve">  为了规范</w:t>
      </w:r>
      <w:r>
        <w:rPr>
          <w:rFonts w:hint="eastAsia" w:ascii="Times New Roman" w:hAnsi="Times New Roman" w:eastAsia="方正仿宋_GBK" w:cs="Times New Roman"/>
          <w:sz w:val="32"/>
          <w:szCs w:val="32"/>
        </w:rPr>
        <w:t>全</w:t>
      </w:r>
      <w:r>
        <w:rPr>
          <w:rFonts w:ascii="Times New Roman" w:hAnsi="Times New Roman" w:eastAsia="方正仿宋_GBK" w:cs="Times New Roman"/>
          <w:sz w:val="32"/>
          <w:szCs w:val="32"/>
        </w:rPr>
        <w:t>区</w:t>
      </w:r>
      <w:r>
        <w:rPr>
          <w:rFonts w:hint="eastAsia" w:ascii="Times New Roman" w:hAnsi="Times New Roman" w:eastAsia="方正仿宋_GBK" w:cs="Times New Roman"/>
          <w:sz w:val="32"/>
          <w:szCs w:val="32"/>
        </w:rPr>
        <w:t>征收</w:t>
      </w:r>
      <w:r>
        <w:rPr>
          <w:rFonts w:ascii="Times New Roman" w:hAnsi="Times New Roman" w:eastAsia="方正仿宋_GBK" w:cs="Times New Roman"/>
          <w:sz w:val="32"/>
          <w:szCs w:val="32"/>
        </w:rPr>
        <w:t>农民集体所有土地（以下简称集体土地）的补偿安置工作，保障被征收土地的所有权人、使用权人的合法权益，根据《重庆市集体土地征</w:t>
      </w:r>
      <w:r>
        <w:rPr>
          <w:rFonts w:hint="eastAsia" w:ascii="Times New Roman" w:hAnsi="Times New Roman" w:eastAsia="方正仿宋_GBK" w:cs="Times New Roman"/>
          <w:sz w:val="32"/>
          <w:szCs w:val="32"/>
        </w:rPr>
        <w:t>收</w:t>
      </w:r>
      <w:r>
        <w:rPr>
          <w:rFonts w:ascii="Times New Roman" w:hAnsi="Times New Roman" w:eastAsia="方正仿宋_GBK" w:cs="Times New Roman"/>
          <w:sz w:val="32"/>
          <w:szCs w:val="32"/>
        </w:rPr>
        <w:t>补偿安置办法》（重庆市人民政府令第</w:t>
      </w:r>
      <w:r>
        <w:rPr>
          <w:rFonts w:hint="eastAsia" w:ascii="Times New Roman" w:hAnsi="Times New Roman" w:eastAsia="方正仿宋_GBK" w:cs="Times New Roman"/>
          <w:sz w:val="32"/>
          <w:szCs w:val="32"/>
        </w:rPr>
        <w:t>344</w:t>
      </w:r>
      <w:r>
        <w:rPr>
          <w:rFonts w:ascii="Times New Roman" w:hAnsi="Times New Roman" w:eastAsia="方正仿宋_GBK" w:cs="Times New Roman"/>
          <w:sz w:val="32"/>
          <w:szCs w:val="32"/>
        </w:rPr>
        <w:t>号）和《重庆市人民政府关于公布征地补偿安置标准有关事项的通知》（渝府发〔2021〕</w:t>
      </w:r>
      <w:r>
        <w:rPr>
          <w:rFonts w:hint="eastAsia" w:ascii="Times New Roman" w:hAnsi="Times New Roman" w:eastAsia="方正仿宋_GBK" w:cs="Times New Roman"/>
          <w:sz w:val="32"/>
          <w:szCs w:val="32"/>
        </w:rPr>
        <w:t>14</w:t>
      </w:r>
      <w:r>
        <w:rPr>
          <w:rFonts w:ascii="Times New Roman" w:hAnsi="Times New Roman" w:eastAsia="方正仿宋_GBK" w:cs="Times New Roman"/>
          <w:sz w:val="32"/>
          <w:szCs w:val="32"/>
        </w:rPr>
        <w:t>号），结合</w:t>
      </w:r>
      <w:r>
        <w:rPr>
          <w:rFonts w:hint="eastAsia" w:ascii="Times New Roman" w:hAnsi="Times New Roman" w:eastAsia="方正仿宋_GBK" w:cs="Times New Roman"/>
          <w:sz w:val="32"/>
          <w:szCs w:val="32"/>
          <w:lang w:eastAsia="zh-CN"/>
        </w:rPr>
        <w:t>我</w:t>
      </w:r>
      <w:r>
        <w:rPr>
          <w:rFonts w:ascii="Times New Roman" w:hAnsi="Times New Roman" w:eastAsia="方正仿宋_GBK" w:cs="Times New Roman"/>
          <w:sz w:val="32"/>
          <w:szCs w:val="32"/>
        </w:rPr>
        <w:t>区实际，制定本实施办法。</w:t>
      </w:r>
    </w:p>
    <w:p>
      <w:pPr>
        <w:keepNext w:val="0"/>
        <w:keepLines w:val="0"/>
        <w:pageBreakBefore w:val="0"/>
        <w:kinsoku/>
        <w:wordWrap/>
        <w:overflowPunct/>
        <w:topLinePunct w:val="0"/>
        <w:bidi w:val="0"/>
        <w:adjustRightInd w:val="0"/>
        <w:spacing w:line="600" w:lineRule="exact"/>
        <w:ind w:firstLine="640" w:firstLineChars="200"/>
        <w:textAlignment w:val="auto"/>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第二条</w:t>
      </w:r>
      <w:r>
        <w:rPr>
          <w:rFonts w:ascii="Times New Roman" w:hAnsi="Times New Roman" w:eastAsia="方正仿宋_GBK" w:cs="Times New Roman"/>
          <w:sz w:val="32"/>
          <w:szCs w:val="32"/>
        </w:rPr>
        <w:t xml:space="preserve">  本区行政区域内集体土地征收的补偿、人员安置和住房安置，适用本办法。</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第三条</w:t>
      </w:r>
      <w:r>
        <w:rPr>
          <w:rFonts w:ascii="Times New Roman" w:hAnsi="Times New Roman" w:eastAsia="方正仿宋_GBK" w:cs="Times New Roman"/>
          <w:sz w:val="32"/>
          <w:szCs w:val="32"/>
        </w:rPr>
        <w:t xml:space="preserve">  区人民政府</w:t>
      </w:r>
      <w:r>
        <w:rPr>
          <w:rFonts w:hint="eastAsia" w:ascii="Times New Roman" w:hAnsi="Times New Roman" w:eastAsia="方正仿宋_GBK" w:cs="Times New Roman"/>
          <w:sz w:val="32"/>
          <w:szCs w:val="32"/>
        </w:rPr>
        <w:t>负责</w:t>
      </w:r>
      <w:r>
        <w:rPr>
          <w:rFonts w:ascii="Times New Roman" w:hAnsi="Times New Roman" w:eastAsia="方正仿宋_GBK" w:cs="Times New Roman"/>
          <w:sz w:val="32"/>
          <w:szCs w:val="32"/>
        </w:rPr>
        <w:t>本行政区域内集体土地征收补偿安置</w:t>
      </w:r>
      <w:r>
        <w:rPr>
          <w:rFonts w:hint="eastAsia" w:ascii="Times New Roman" w:hAnsi="Times New Roman" w:eastAsia="方正仿宋_GBK" w:cs="Times New Roman"/>
          <w:sz w:val="32"/>
          <w:szCs w:val="32"/>
        </w:rPr>
        <w:t>的组织实施工作。</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区</w:t>
      </w:r>
      <w:r>
        <w:rPr>
          <w:rFonts w:hint="eastAsia" w:ascii="Times New Roman" w:hAnsi="Times New Roman" w:eastAsia="方正仿宋_GBK" w:cs="Times New Roman"/>
          <w:sz w:val="32"/>
          <w:szCs w:val="32"/>
          <w:lang w:eastAsia="zh-CN"/>
        </w:rPr>
        <w:t>土地和房屋征收部门</w:t>
      </w:r>
      <w:r>
        <w:rPr>
          <w:rFonts w:hint="eastAsia" w:ascii="Times New Roman" w:hAnsi="Times New Roman" w:eastAsia="方正仿宋_GBK" w:cs="Times New Roman"/>
          <w:sz w:val="32"/>
          <w:szCs w:val="32"/>
        </w:rPr>
        <w:t>负责</w:t>
      </w:r>
      <w:r>
        <w:rPr>
          <w:rFonts w:ascii="Times New Roman" w:hAnsi="Times New Roman" w:eastAsia="方正仿宋_GBK" w:cs="Times New Roman"/>
          <w:sz w:val="32"/>
          <w:szCs w:val="32"/>
        </w:rPr>
        <w:t>本行政区域内集体土地征收补偿安置</w:t>
      </w:r>
      <w:r>
        <w:rPr>
          <w:rFonts w:hint="eastAsia" w:ascii="Times New Roman" w:hAnsi="Times New Roman" w:eastAsia="方正仿宋_GBK" w:cs="Times New Roman"/>
          <w:sz w:val="32"/>
          <w:szCs w:val="32"/>
        </w:rPr>
        <w:t>具体</w:t>
      </w:r>
      <w:r>
        <w:rPr>
          <w:rFonts w:ascii="Times New Roman" w:hAnsi="Times New Roman" w:eastAsia="方正仿宋_GBK" w:cs="Times New Roman"/>
          <w:sz w:val="32"/>
          <w:szCs w:val="32"/>
        </w:rPr>
        <w:t>实施</w:t>
      </w:r>
      <w:r>
        <w:rPr>
          <w:rFonts w:hint="eastAsia" w:ascii="Times New Roman" w:hAnsi="Times New Roman" w:eastAsia="方正仿宋_GBK" w:cs="Times New Roman"/>
          <w:sz w:val="32"/>
          <w:szCs w:val="32"/>
        </w:rPr>
        <w:t>的事务性</w:t>
      </w:r>
      <w:r>
        <w:rPr>
          <w:rFonts w:ascii="Times New Roman" w:hAnsi="Times New Roman" w:eastAsia="方正仿宋_GBK" w:cs="Times New Roman"/>
          <w:sz w:val="32"/>
          <w:szCs w:val="32"/>
        </w:rPr>
        <w:t>工作。</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区规划自然资源部门负责对集体土地征收补偿安置具体实施的事务性工作进行监督、管理。</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区人力资源和社会保障部门负责本行政区域内征地安置人员的基本养老保险和促进就业工作。</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区公安部门负责被征地农村集体经济组织所在地居民户口</w:t>
      </w:r>
      <w:r>
        <w:rPr>
          <w:rFonts w:hint="eastAsia" w:ascii="Times New Roman" w:hAnsi="Times New Roman" w:eastAsia="方正仿宋_GBK" w:cs="Times New Roman"/>
          <w:sz w:val="32"/>
          <w:szCs w:val="32"/>
        </w:rPr>
        <w:t>信息的提供和</w:t>
      </w:r>
      <w:r>
        <w:rPr>
          <w:rFonts w:ascii="Times New Roman" w:hAnsi="Times New Roman" w:eastAsia="方正仿宋_GBK" w:cs="Times New Roman"/>
          <w:sz w:val="32"/>
          <w:szCs w:val="32"/>
        </w:rPr>
        <w:t>审核工作。</w:t>
      </w:r>
    </w:p>
    <w:p>
      <w:pPr>
        <w:keepNext w:val="0"/>
        <w:keepLines w:val="0"/>
        <w:pageBreakBefore w:val="0"/>
        <w:kinsoku/>
        <w:wordWrap/>
        <w:overflowPunct/>
        <w:topLinePunct w:val="0"/>
        <w:bidi w:val="0"/>
        <w:adjustRightInd w:val="0"/>
        <w:spacing w:line="600" w:lineRule="exact"/>
        <w:ind w:firstLine="640" w:firstLineChars="200"/>
        <w:textAlignment w:val="auto"/>
        <w:rPr>
          <w:rFonts w:ascii="Times New Roman" w:hAnsi="Times New Roman" w:eastAsia="方正仿宋_GBK"/>
          <w:color w:val="000000"/>
        </w:rPr>
      </w:pPr>
      <w:r>
        <w:rPr>
          <w:rFonts w:ascii="Times New Roman" w:hAnsi="Times New Roman" w:eastAsia="方正仿宋_GBK" w:cs="Times New Roman"/>
          <w:sz w:val="32"/>
          <w:szCs w:val="32"/>
        </w:rPr>
        <w:t>区农业农村部门负责征地涉及的农村土地承包经营</w:t>
      </w:r>
      <w:r>
        <w:rPr>
          <w:rFonts w:hint="eastAsia" w:ascii="Times New Roman" w:hAnsi="Times New Roman" w:eastAsia="方正仿宋_GBK" w:cs="Times New Roman"/>
          <w:sz w:val="32"/>
          <w:szCs w:val="32"/>
        </w:rPr>
        <w:t>权的确认</w:t>
      </w:r>
      <w:r>
        <w:rPr>
          <w:rFonts w:ascii="Times New Roman" w:hAnsi="Times New Roman" w:eastAsia="方正仿宋_GBK" w:cs="Times New Roman"/>
          <w:sz w:val="32"/>
          <w:szCs w:val="32"/>
        </w:rPr>
        <w:t>，农村集体资产管理的指导</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监督及农村宅基地管理工作。</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区财政、住房城乡建设、发展改革、民政、林业、信访等其他有关部门按照各自职责，共同做好集体土地征收补偿安置相关工作。</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乡镇人民政府（街道办事处）负责征地涉及的农村土地承包经营及承包经营合同管理</w:t>
      </w:r>
      <w:r>
        <w:rPr>
          <w:rFonts w:hint="eastAsia" w:ascii="Times New Roman" w:hAnsi="Times New Roman" w:eastAsia="方正仿宋_GBK" w:cs="Times New Roman"/>
          <w:sz w:val="32"/>
          <w:szCs w:val="32"/>
        </w:rPr>
        <w:t>、确认</w:t>
      </w:r>
      <w:r>
        <w:rPr>
          <w:rFonts w:ascii="Times New Roman" w:hAnsi="Times New Roman" w:eastAsia="方正仿宋_GBK" w:cs="Times New Roman"/>
          <w:sz w:val="32"/>
          <w:szCs w:val="32"/>
        </w:rPr>
        <w:t>，农村宅基地审核批准，并按照区人民政府的要求，</w:t>
      </w:r>
      <w:r>
        <w:rPr>
          <w:rFonts w:hint="eastAsia" w:ascii="Times New Roman" w:hAnsi="Times New Roman" w:eastAsia="方正仿宋_GBK" w:cs="Times New Roman"/>
          <w:sz w:val="32"/>
          <w:szCs w:val="32"/>
        </w:rPr>
        <w:t>承担</w:t>
      </w:r>
      <w:r>
        <w:rPr>
          <w:rFonts w:ascii="Times New Roman" w:hAnsi="Times New Roman" w:eastAsia="方正仿宋_GBK" w:cs="Times New Roman"/>
          <w:sz w:val="32"/>
          <w:szCs w:val="32"/>
        </w:rPr>
        <w:t>辖区内集体土地征收补偿安置的</w:t>
      </w:r>
      <w:r>
        <w:rPr>
          <w:rFonts w:hint="eastAsia" w:ascii="Times New Roman" w:hAnsi="Times New Roman" w:eastAsia="方正仿宋_GBK" w:cs="Times New Roman"/>
          <w:sz w:val="32"/>
          <w:szCs w:val="32"/>
        </w:rPr>
        <w:t>具体事务实施、信访、维稳等相关工作</w:t>
      </w:r>
      <w:r>
        <w:rPr>
          <w:rFonts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val="0"/>
        <w:spacing w:before="581" w:beforeLines="100" w:after="581" w:afterLines="100" w:line="600" w:lineRule="exact"/>
        <w:ind w:left="0" w:leftChars="0" w:right="0" w:rightChars="0" w:firstLine="0" w:firstLineChars="0"/>
        <w:jc w:val="center"/>
        <w:textAlignment w:val="auto"/>
        <w:outlineLvl w:val="9"/>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第二章</w:t>
      </w:r>
      <w:r>
        <w:rPr>
          <w:rFonts w:hint="eastAsia" w:ascii="方正黑体_GBK" w:hAnsi="方正黑体_GBK" w:eastAsia="方正黑体_GBK" w:cs="方正黑体_GBK"/>
          <w:sz w:val="32"/>
          <w:szCs w:val="32"/>
        </w:rPr>
        <w:t xml:space="preserve">  </w:t>
      </w:r>
      <w:r>
        <w:rPr>
          <w:rFonts w:ascii="方正黑体_GBK" w:hAnsi="方正黑体_GBK" w:eastAsia="方正黑体_GBK" w:cs="方正黑体_GBK"/>
          <w:sz w:val="32"/>
          <w:szCs w:val="32"/>
        </w:rPr>
        <w:t>征地补偿</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rPr>
        <w:t>四</w:t>
      </w:r>
      <w:r>
        <w:rPr>
          <w:rFonts w:ascii="方正黑体_GBK" w:hAnsi="方正黑体_GBK" w:eastAsia="方正黑体_GBK" w:cs="方正黑体_GBK"/>
          <w:sz w:val="32"/>
          <w:szCs w:val="32"/>
        </w:rPr>
        <w:t>条</w:t>
      </w:r>
      <w:r>
        <w:rPr>
          <w:rFonts w:ascii="Times New Roman" w:hAnsi="Times New Roman" w:eastAsia="方正仿宋_GBK" w:cs="Times New Roman"/>
          <w:sz w:val="32"/>
          <w:szCs w:val="32"/>
        </w:rPr>
        <w:t xml:space="preserve">  征收集体土地应当依法及时足额支付土地补偿费、安置补助费以及农村房屋、其他地上附着物和青苗等补偿费用。</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rPr>
        <w:t>五</w:t>
      </w:r>
      <w:r>
        <w:rPr>
          <w:rFonts w:ascii="方正黑体_GBK" w:hAnsi="方正黑体_GBK" w:eastAsia="方正黑体_GBK" w:cs="方正黑体_GBK"/>
          <w:sz w:val="32"/>
          <w:szCs w:val="32"/>
        </w:rPr>
        <w:t>条</w:t>
      </w:r>
      <w:r>
        <w:rPr>
          <w:rFonts w:ascii="Times New Roman" w:hAnsi="Times New Roman" w:eastAsia="方正仿宋_GBK" w:cs="Times New Roman"/>
          <w:sz w:val="32"/>
          <w:szCs w:val="32"/>
        </w:rPr>
        <w:t xml:space="preserve">  征收农用地、建设用地和未利用地的土地补偿费和安置补助费，不分地类，按照市人民政府制定公布的区片综合地价标准乘以被征收土地面积计算。区片综合地价中，土地补偿费占30%，安置补助费占70%。</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本区行政区域范围内，区片综合地价标准按照附件1执行。</w:t>
      </w:r>
    </w:p>
    <w:p>
      <w:pPr>
        <w:keepNext w:val="0"/>
        <w:keepLines w:val="0"/>
        <w:pageBreakBefore w:val="0"/>
        <w:kinsoku/>
        <w:wordWrap/>
        <w:overflowPunct/>
        <w:topLinePunct w:val="0"/>
        <w:autoSpaceDE w:val="0"/>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第六条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被征收土地的土地补偿费，按照市人民政府制定公布的土地补偿费标准（区片综合地价的30%）乘以农村集体经济组织被征收土地面积计算。</w:t>
      </w:r>
    </w:p>
    <w:p>
      <w:pPr>
        <w:keepNext w:val="0"/>
        <w:keepLines w:val="0"/>
        <w:pageBreakBefore w:val="0"/>
        <w:kinsoku/>
        <w:wordWrap/>
        <w:overflowPunct/>
        <w:topLinePunct w:val="0"/>
        <w:autoSpaceDE w:val="0"/>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土地补偿费由</w:t>
      </w:r>
      <w:r>
        <w:rPr>
          <w:rFonts w:hint="eastAsia" w:ascii="Times New Roman" w:hAnsi="Times New Roman" w:eastAsia="方正仿宋_GBK" w:cs="Times New Roman"/>
          <w:sz w:val="32"/>
          <w:szCs w:val="32"/>
          <w:lang w:eastAsia="zh-CN"/>
        </w:rPr>
        <w:t>区土地和房屋征收部门</w:t>
      </w:r>
      <w:r>
        <w:rPr>
          <w:rFonts w:ascii="Times New Roman" w:hAnsi="Times New Roman" w:eastAsia="方正仿宋_GBK" w:cs="Times New Roman"/>
          <w:sz w:val="32"/>
          <w:szCs w:val="32"/>
        </w:rPr>
        <w:t>支付给被征地农村集体经济组织。其中，被征收土地为家庭承包土地的，土地补偿费的80%由农村集体经济组织按照被征收土地面积发放给承包经营户，土地补偿费的20%由农村集体经济组织依法管理和使用；被征收土地为未发包土地或者其他方式承包土地的，土地补偿费由农村集体经济组织依法管理和使用。</w:t>
      </w:r>
    </w:p>
    <w:p>
      <w:pPr>
        <w:keepNext w:val="0"/>
        <w:keepLines w:val="0"/>
        <w:pageBreakBefore w:val="0"/>
        <w:kinsoku/>
        <w:wordWrap/>
        <w:overflowPunct/>
        <w:topLinePunct w:val="0"/>
        <w:autoSpaceDE w:val="0"/>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第七条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被征收土地的安置补助费，按照市人民政府制定公布的安置补助费标准（区片综合地价的70%）乘以农村集体经济组织被征收土地面积计算。</w:t>
      </w:r>
    </w:p>
    <w:p>
      <w:pPr>
        <w:keepNext w:val="0"/>
        <w:keepLines w:val="0"/>
        <w:pageBreakBefore w:val="0"/>
        <w:kinsoku/>
        <w:wordWrap/>
        <w:overflowPunct/>
        <w:topLinePunct w:val="0"/>
        <w:bidi w:val="0"/>
        <w:spacing w:line="600" w:lineRule="exact"/>
        <w:ind w:firstLine="640" w:firstLineChars="200"/>
        <w:textAlignment w:val="auto"/>
        <w:rPr>
          <w:rFonts w:ascii="方正黑体_GBK" w:hAnsi="方正黑体_GBK" w:eastAsia="方正黑体_GBK" w:cs="方正黑体_GBK"/>
          <w:sz w:val="32"/>
          <w:szCs w:val="32"/>
        </w:rPr>
      </w:pPr>
      <w:r>
        <w:rPr>
          <w:rFonts w:ascii="Times New Roman" w:hAnsi="Times New Roman" w:eastAsia="方正仿宋_GBK" w:cs="Times New Roman"/>
          <w:sz w:val="32"/>
          <w:szCs w:val="32"/>
        </w:rPr>
        <w:t>安置补助费由</w:t>
      </w:r>
      <w:r>
        <w:rPr>
          <w:rFonts w:hint="eastAsia" w:ascii="Times New Roman" w:hAnsi="Times New Roman" w:eastAsia="方正仿宋_GBK" w:cs="Times New Roman"/>
          <w:sz w:val="32"/>
          <w:szCs w:val="32"/>
          <w:lang w:eastAsia="zh-CN"/>
        </w:rPr>
        <w:t>区土地和房屋征收部门</w:t>
      </w:r>
      <w:r>
        <w:rPr>
          <w:rFonts w:ascii="Times New Roman" w:hAnsi="Times New Roman" w:eastAsia="方正仿宋_GBK" w:cs="Times New Roman"/>
          <w:sz w:val="32"/>
          <w:szCs w:val="32"/>
        </w:rPr>
        <w:t>按照3.</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万元/人的发放标准支付给人员安置对象。前款计算的安置补助费支付后有结余的，结余部分交由农村集体经济组织依法管理和使用；不足的，由区人民政府安排资金予以补足。</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黑体_GBK" w:hAnsi="方正黑体_GBK" w:eastAsia="方正黑体_GBK" w:cs="方正黑体_GBK"/>
          <w:sz w:val="32"/>
          <w:szCs w:val="32"/>
        </w:rPr>
        <w:t>第八条</w:t>
      </w:r>
      <w:r>
        <w:rPr>
          <w:rFonts w:hint="eastAsia" w:ascii="Times New Roman" w:hAnsi="Times New Roman" w:eastAsia="方正仿宋_GBK"/>
          <w:sz w:val="32"/>
          <w:szCs w:val="32"/>
        </w:rPr>
        <w:t xml:space="preserve">  本办法</w:t>
      </w:r>
      <w:r>
        <w:rPr>
          <w:rFonts w:ascii="Times New Roman" w:hAnsi="Times New Roman" w:eastAsia="方正仿宋_GBK"/>
          <w:sz w:val="32"/>
          <w:szCs w:val="32"/>
        </w:rPr>
        <w:t>所称其他地上附着物，是指除房屋外的建筑物、构筑物以及林木和其他经济作物等；青苗，是指土地上生长的农作物。</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征收耕地内</w:t>
      </w:r>
      <w:r>
        <w:rPr>
          <w:rFonts w:hint="eastAsia" w:ascii="Times New Roman" w:hAnsi="Times New Roman" w:eastAsia="方正仿宋_GBK" w:cs="Times New Roman"/>
          <w:sz w:val="32"/>
          <w:szCs w:val="32"/>
        </w:rPr>
        <w:t>青苗</w:t>
      </w:r>
      <w:r>
        <w:rPr>
          <w:rFonts w:hint="eastAsia" w:ascii="Times New Roman" w:hAnsi="Times New Roman" w:eastAsia="方正仿宋_GBK" w:cs="Times New Roman"/>
          <w:sz w:val="32"/>
          <w:szCs w:val="32"/>
          <w:lang w:eastAsia="zh-CN"/>
        </w:rPr>
        <w:t>实行</w:t>
      </w:r>
      <w:r>
        <w:rPr>
          <w:rFonts w:hint="eastAsia" w:ascii="Times New Roman" w:hAnsi="Times New Roman" w:eastAsia="方正仿宋_GBK" w:cs="Times New Roman"/>
          <w:sz w:val="32"/>
          <w:szCs w:val="32"/>
        </w:rPr>
        <w:t>综合定额补偿</w:t>
      </w:r>
      <w:r>
        <w:rPr>
          <w:rFonts w:hint="eastAsia" w:ascii="Times New Roman" w:hAnsi="Times New Roman" w:eastAsia="方正仿宋_GBK" w:cs="Times New Roman"/>
          <w:sz w:val="32"/>
          <w:szCs w:val="32"/>
          <w:lang w:eastAsia="zh-CN"/>
        </w:rPr>
        <w:t>，按</w:t>
      </w:r>
      <w:r>
        <w:rPr>
          <w:rFonts w:hint="eastAsia" w:ascii="Times New Roman" w:hAnsi="Times New Roman" w:eastAsia="方正仿宋_GBK" w:cs="Times New Roman"/>
          <w:sz w:val="32"/>
          <w:szCs w:val="32"/>
        </w:rPr>
        <w:t>被征收耕地面积计算</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标准为3000元／亩。</w:t>
      </w:r>
      <w:r>
        <w:rPr>
          <w:rFonts w:hint="eastAsia" w:ascii="Times New Roman" w:hAnsi="Times New Roman" w:eastAsia="方正仿宋_GBK" w:cs="Times New Roman"/>
          <w:sz w:val="32"/>
          <w:szCs w:val="32"/>
          <w:lang w:eastAsia="zh-CN"/>
        </w:rPr>
        <w:t>征收林地内林木实行综合定额补偿，按被征收林地面积计算，标准为：</w:t>
      </w:r>
      <w:r>
        <w:rPr>
          <w:rFonts w:hint="eastAsia" w:ascii="Times New Roman" w:hAnsi="Times New Roman" w:eastAsia="方正仿宋_GBK" w:cs="Times New Roman"/>
          <w:sz w:val="32"/>
          <w:szCs w:val="32"/>
        </w:rPr>
        <w:t>灌木林及其他林地林木3000元／亩；一般乔木林林木8000元／亩；方竹林等经济林林木12000元/亩。补偿后的青苗和林木归原权属单位或个人所有。</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林地外的</w:t>
      </w:r>
      <w:r>
        <w:rPr>
          <w:rFonts w:ascii="Times New Roman" w:hAnsi="Times New Roman" w:eastAsia="方正仿宋_GBK" w:cs="Times New Roman"/>
          <w:sz w:val="32"/>
          <w:szCs w:val="32"/>
        </w:rPr>
        <w:t>其他地上附着物综合定额补偿标准为</w:t>
      </w:r>
      <w:r>
        <w:rPr>
          <w:rFonts w:hint="eastAsia" w:ascii="Times New Roman" w:hAnsi="Times New Roman" w:eastAsia="方正仿宋_GBK" w:cs="Times New Roman"/>
          <w:sz w:val="32"/>
          <w:szCs w:val="32"/>
        </w:rPr>
        <w:t>10000</w:t>
      </w:r>
      <w:r>
        <w:rPr>
          <w:rFonts w:ascii="Times New Roman" w:hAnsi="Times New Roman" w:eastAsia="方正仿宋_GBK" w:cs="Times New Roman"/>
          <w:sz w:val="32"/>
          <w:szCs w:val="32"/>
        </w:rPr>
        <w:t>元／亩。</w:t>
      </w:r>
      <w:r>
        <w:rPr>
          <w:rFonts w:hint="eastAsia" w:ascii="Times New Roman" w:hAnsi="Times New Roman" w:eastAsia="方正仿宋_GBK" w:cs="Times New Roman"/>
          <w:sz w:val="32"/>
          <w:szCs w:val="32"/>
        </w:rPr>
        <w:t>林地内除林木外的其他地上附着物按附件4相关标准据实清理补偿，林地内的林木及附着物补偿若低于8000元/亩的，则按8000元/亩的标准予以补足。</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其他地上附着物由</w:t>
      </w:r>
      <w:r>
        <w:rPr>
          <w:rFonts w:ascii="Times New Roman" w:hAnsi="Times New Roman" w:eastAsia="方正仿宋_GBK" w:cs="Times New Roman"/>
          <w:sz w:val="32"/>
          <w:szCs w:val="32"/>
        </w:rPr>
        <w:t>被征</w:t>
      </w:r>
      <w:r>
        <w:rPr>
          <w:rFonts w:hint="eastAsia" w:ascii="Times New Roman" w:hAnsi="Times New Roman" w:eastAsia="方正仿宋_GBK" w:cs="Times New Roman"/>
          <w:sz w:val="32"/>
          <w:szCs w:val="32"/>
        </w:rPr>
        <w:t>地</w:t>
      </w:r>
      <w:r>
        <w:rPr>
          <w:rFonts w:ascii="Times New Roman" w:hAnsi="Times New Roman" w:eastAsia="方正仿宋_GBK" w:cs="Times New Roman"/>
          <w:sz w:val="32"/>
          <w:szCs w:val="32"/>
        </w:rPr>
        <w:t>集体经济组织</w:t>
      </w:r>
      <w:r>
        <w:rPr>
          <w:rFonts w:hint="eastAsia" w:ascii="Times New Roman" w:hAnsi="Times New Roman" w:eastAsia="方正仿宋_GBK" w:cs="Times New Roman"/>
          <w:sz w:val="32"/>
          <w:szCs w:val="32"/>
        </w:rPr>
        <w:t>按征地面积或</w:t>
      </w:r>
      <w:r>
        <w:rPr>
          <w:rFonts w:ascii="Times New Roman" w:hAnsi="Times New Roman" w:eastAsia="方正仿宋_GBK" w:cs="Times New Roman"/>
          <w:sz w:val="32"/>
          <w:szCs w:val="32"/>
        </w:rPr>
        <w:t>结合</w:t>
      </w:r>
      <w:r>
        <w:rPr>
          <w:rFonts w:hint="eastAsia" w:ascii="Times New Roman" w:hAnsi="Times New Roman" w:eastAsia="方正仿宋_GBK" w:cs="Times New Roman"/>
          <w:sz w:val="32"/>
          <w:szCs w:val="32"/>
        </w:rPr>
        <w:t>实际按</w:t>
      </w: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rPr>
        <w:t>3、4分类</w:t>
      </w:r>
      <w:r>
        <w:rPr>
          <w:rFonts w:ascii="Times New Roman" w:hAnsi="Times New Roman" w:eastAsia="方正仿宋_GBK" w:cs="Times New Roman"/>
          <w:sz w:val="32"/>
          <w:szCs w:val="32"/>
        </w:rPr>
        <w:t>标准</w:t>
      </w:r>
      <w:r>
        <w:rPr>
          <w:rFonts w:hint="eastAsia" w:ascii="Times New Roman" w:hAnsi="Times New Roman" w:eastAsia="方正仿宋_GBK" w:cs="Times New Roman"/>
          <w:sz w:val="32"/>
          <w:szCs w:val="32"/>
        </w:rPr>
        <w:t>支付给其所有权人</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结合实际支付给所有权人后仍有结余的，</w:t>
      </w:r>
      <w:r>
        <w:rPr>
          <w:rFonts w:ascii="Times New Roman" w:hAnsi="Times New Roman" w:eastAsia="方正仿宋_GBK" w:cs="Times New Roman"/>
          <w:sz w:val="32"/>
          <w:szCs w:val="32"/>
        </w:rPr>
        <w:t>结余部分交由农村集体经济组织依法管理和使用；不足的，由区人民政府安排资金予以补足。</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rPr>
        <w:t>九</w:t>
      </w:r>
      <w:r>
        <w:rPr>
          <w:rFonts w:ascii="方正黑体_GBK" w:hAnsi="方正黑体_GBK" w:eastAsia="方正黑体_GBK" w:cs="方正黑体_GBK"/>
          <w:sz w:val="32"/>
          <w:szCs w:val="32"/>
        </w:rPr>
        <w:t>条</w:t>
      </w:r>
      <w:r>
        <w:rPr>
          <w:rFonts w:ascii="Times New Roman" w:hAnsi="Times New Roman" w:eastAsia="方正仿宋_GBK" w:cs="Times New Roman"/>
          <w:sz w:val="32"/>
          <w:szCs w:val="32"/>
        </w:rPr>
        <w:t xml:space="preserve">  </w:t>
      </w:r>
      <w:r>
        <w:rPr>
          <w:rFonts w:hint="eastAsia" w:ascii="方正仿宋_GBK" w:eastAsia="方正仿宋_GBK"/>
          <w:sz w:val="32"/>
          <w:szCs w:val="32"/>
        </w:rPr>
        <w:t>征地范围内</w:t>
      </w:r>
      <w:r>
        <w:rPr>
          <w:rFonts w:hint="eastAsia" w:ascii="Times New Roman" w:hAnsi="Times New Roman" w:eastAsia="方正仿宋_GBK" w:cs="Times New Roman"/>
          <w:sz w:val="32"/>
          <w:szCs w:val="32"/>
        </w:rPr>
        <w:t>房屋及</w:t>
      </w:r>
      <w:r>
        <w:rPr>
          <w:rFonts w:hint="eastAsia" w:ascii="方正仿宋_GBK" w:eastAsia="方正仿宋_GBK"/>
          <w:sz w:val="32"/>
          <w:szCs w:val="32"/>
        </w:rPr>
        <w:t>附属设施补偿</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农村房屋以不动产权属证书记载的合法建筑面积为准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对未取得不动产权属证书的房屋，由</w:t>
      </w:r>
      <w:r>
        <w:rPr>
          <w:rFonts w:hint="eastAsia" w:ascii="Times New Roman" w:hAnsi="Times New Roman" w:eastAsia="方正仿宋_GBK" w:cs="Times New Roman"/>
          <w:sz w:val="32"/>
          <w:szCs w:val="32"/>
        </w:rPr>
        <w:t>区人民政府组织区</w:t>
      </w:r>
      <w:r>
        <w:rPr>
          <w:rFonts w:ascii="Times New Roman" w:hAnsi="Times New Roman" w:eastAsia="方正仿宋_GBK" w:cs="Times New Roman"/>
          <w:sz w:val="32"/>
          <w:szCs w:val="32"/>
        </w:rPr>
        <w:t>规划自然资源、农业农村等部门和乡镇人民政府</w:t>
      </w:r>
      <w:r>
        <w:rPr>
          <w:rFonts w:hint="eastAsia" w:ascii="Times New Roman" w:hAnsi="Times New Roman" w:eastAsia="方正仿宋_GBK" w:cs="Times New Roman"/>
          <w:sz w:val="32"/>
          <w:szCs w:val="32"/>
        </w:rPr>
        <w:t>（街道办事处）</w:t>
      </w:r>
      <w:r>
        <w:rPr>
          <w:rFonts w:ascii="Times New Roman" w:hAnsi="Times New Roman" w:eastAsia="方正仿宋_GBK" w:cs="Times New Roman"/>
          <w:sz w:val="32"/>
          <w:szCs w:val="32"/>
        </w:rPr>
        <w:t>依法予以认定。</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（一）属于住房安置对象的，</w:t>
      </w:r>
      <w:r>
        <w:rPr>
          <w:rFonts w:ascii="Times New Roman" w:hAnsi="Times New Roman" w:eastAsia="方正仿宋_GBK" w:cs="Times New Roman"/>
          <w:sz w:val="32"/>
          <w:szCs w:val="32"/>
        </w:rPr>
        <w:t>其</w:t>
      </w:r>
      <w:r>
        <w:rPr>
          <w:rFonts w:hint="eastAsia" w:ascii="Times New Roman" w:hAnsi="Times New Roman" w:eastAsia="方正仿宋_GBK" w:cs="Times New Roman"/>
          <w:sz w:val="32"/>
          <w:szCs w:val="32"/>
        </w:rPr>
        <w:t>被</w:t>
      </w:r>
      <w:r>
        <w:rPr>
          <w:rFonts w:ascii="Times New Roman" w:hAnsi="Times New Roman" w:eastAsia="方正仿宋_GBK" w:cs="Times New Roman"/>
          <w:sz w:val="32"/>
          <w:szCs w:val="32"/>
        </w:rPr>
        <w:t>拆迁房屋按重置价格</w:t>
      </w:r>
      <w:r>
        <w:rPr>
          <w:rFonts w:hint="eastAsia" w:ascii="Times New Roman" w:hAnsi="Times New Roman" w:eastAsia="方正仿宋_GBK" w:cs="Times New Roman"/>
          <w:sz w:val="32"/>
          <w:szCs w:val="32"/>
        </w:rPr>
        <w:t>标准予以</w:t>
      </w:r>
      <w:r>
        <w:rPr>
          <w:rFonts w:ascii="Times New Roman" w:hAnsi="Times New Roman" w:eastAsia="方正仿宋_GBK" w:cs="Times New Roman"/>
          <w:sz w:val="32"/>
          <w:szCs w:val="32"/>
        </w:rPr>
        <w:t>补偿</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不属于住房安置对象的，其</w:t>
      </w:r>
      <w:r>
        <w:rPr>
          <w:rFonts w:hint="eastAsia" w:ascii="Times New Roman" w:hAnsi="Times New Roman" w:eastAsia="方正仿宋_GBK" w:cs="Times New Roman"/>
          <w:sz w:val="32"/>
          <w:szCs w:val="32"/>
        </w:rPr>
        <w:t>被</w:t>
      </w:r>
      <w:r>
        <w:rPr>
          <w:rFonts w:ascii="Times New Roman" w:hAnsi="Times New Roman" w:eastAsia="方正仿宋_GBK" w:cs="Times New Roman"/>
          <w:sz w:val="32"/>
          <w:szCs w:val="32"/>
        </w:rPr>
        <w:t>拆迁房屋（</w:t>
      </w:r>
      <w:r>
        <w:rPr>
          <w:rFonts w:hint="eastAsia" w:ascii="Times New Roman" w:hAnsi="Times New Roman" w:eastAsia="方正仿宋_GBK" w:cs="Times New Roman"/>
          <w:sz w:val="32"/>
          <w:szCs w:val="32"/>
        </w:rPr>
        <w:t>层高不足、</w:t>
      </w:r>
      <w:r>
        <w:rPr>
          <w:rFonts w:ascii="Times New Roman" w:hAnsi="Times New Roman" w:eastAsia="方正仿宋_GBK" w:cs="Times New Roman"/>
          <w:sz w:val="32"/>
          <w:szCs w:val="32"/>
        </w:rPr>
        <w:t>圈舍和简易结构除外）按</w:t>
      </w:r>
      <w:r>
        <w:rPr>
          <w:rFonts w:hint="eastAsia" w:ascii="Times New Roman" w:hAnsi="Times New Roman" w:eastAsia="方正仿宋_GBK" w:cs="Times New Roman"/>
          <w:sz w:val="32"/>
          <w:szCs w:val="32"/>
        </w:rPr>
        <w:t>重置价格</w:t>
      </w:r>
      <w:r>
        <w:rPr>
          <w:rFonts w:ascii="Times New Roman" w:hAnsi="Times New Roman" w:eastAsia="方正仿宋_GBK" w:cs="Times New Roman"/>
          <w:sz w:val="32"/>
          <w:szCs w:val="32"/>
        </w:rPr>
        <w:t>标准</w:t>
      </w:r>
      <w:r>
        <w:rPr>
          <w:rFonts w:hint="eastAsia" w:ascii="Times New Roman" w:hAnsi="Times New Roman" w:eastAsia="方正仿宋_GBK" w:cs="Times New Roman"/>
          <w:sz w:val="32"/>
          <w:szCs w:val="32"/>
        </w:rPr>
        <w:t>予以</w:t>
      </w:r>
      <w:r>
        <w:rPr>
          <w:rFonts w:ascii="Times New Roman" w:hAnsi="Times New Roman" w:eastAsia="方正仿宋_GBK" w:cs="Times New Roman"/>
          <w:sz w:val="32"/>
          <w:szCs w:val="32"/>
        </w:rPr>
        <w:t>补偿</w:t>
      </w:r>
      <w:r>
        <w:rPr>
          <w:rFonts w:hint="eastAsia" w:ascii="Times New Roman" w:hAnsi="Times New Roman" w:eastAsia="方正仿宋_GBK" w:cs="Times New Roman"/>
          <w:sz w:val="32"/>
          <w:szCs w:val="32"/>
        </w:rPr>
        <w:t>，并按重置价格50%的标准另行予以补助。本办法第二十五条所列人员其被拆迁房屋</w:t>
      </w:r>
      <w:r>
        <w:rPr>
          <w:rFonts w:ascii="Times New Roman" w:hAnsi="Times New Roman" w:eastAsia="方正仿宋_GBK" w:cs="Times New Roman"/>
          <w:sz w:val="32"/>
          <w:szCs w:val="32"/>
        </w:rPr>
        <w:t>按重置价格</w:t>
      </w:r>
      <w:r>
        <w:rPr>
          <w:rFonts w:hint="eastAsia" w:ascii="Times New Roman" w:hAnsi="Times New Roman" w:eastAsia="方正仿宋_GBK" w:cs="Times New Roman"/>
          <w:sz w:val="32"/>
          <w:szCs w:val="32"/>
        </w:rPr>
        <w:t>标准予以</w:t>
      </w:r>
      <w:r>
        <w:rPr>
          <w:rFonts w:ascii="Times New Roman" w:hAnsi="Times New Roman" w:eastAsia="方正仿宋_GBK" w:cs="Times New Roman"/>
          <w:sz w:val="32"/>
          <w:szCs w:val="32"/>
        </w:rPr>
        <w:t>补偿</w:t>
      </w:r>
      <w:r>
        <w:rPr>
          <w:rFonts w:hint="eastAsia" w:ascii="Times New Roman" w:hAnsi="Times New Roman" w:eastAsia="方正仿宋_GBK" w:cs="Times New Roman"/>
          <w:sz w:val="32"/>
          <w:szCs w:val="32"/>
        </w:rPr>
        <w:t>。</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hint="eastAsia" w:ascii="方正仿宋_GBK" w:eastAsia="方正仿宋_GBK"/>
          <w:sz w:val="32"/>
          <w:szCs w:val="32"/>
        </w:rPr>
        <w:t>（二）</w:t>
      </w:r>
      <w:r>
        <w:rPr>
          <w:rFonts w:hint="eastAsia" w:ascii="Times New Roman" w:hAnsi="Times New Roman" w:eastAsia="方正仿宋_GBK" w:cs="Times New Roman"/>
          <w:sz w:val="32"/>
          <w:szCs w:val="32"/>
        </w:rPr>
        <w:t>征地范围内房屋的附属设施，按规定标准补偿。</w:t>
      </w:r>
      <w:r>
        <w:rPr>
          <w:rFonts w:ascii="Times New Roman" w:hAnsi="Times New Roman" w:eastAsia="方正仿宋_GBK" w:cs="Times New Roman"/>
          <w:sz w:val="32"/>
          <w:szCs w:val="32"/>
        </w:rPr>
        <w:t>被</w:t>
      </w:r>
      <w:r>
        <w:rPr>
          <w:rFonts w:hint="eastAsia" w:ascii="Times New Roman" w:hAnsi="Times New Roman" w:eastAsia="方正仿宋_GBK" w:cs="Times New Roman"/>
          <w:sz w:val="32"/>
          <w:szCs w:val="32"/>
        </w:rPr>
        <w:t>拆</w:t>
      </w:r>
      <w:r>
        <w:rPr>
          <w:rFonts w:ascii="Times New Roman" w:hAnsi="Times New Roman" w:eastAsia="方正仿宋_GBK" w:cs="Times New Roman"/>
          <w:sz w:val="32"/>
          <w:szCs w:val="32"/>
        </w:rPr>
        <w:t>迁房屋的装饰物由所有权人自行拆除</w:t>
      </w:r>
      <w:r>
        <w:rPr>
          <w:rFonts w:hint="eastAsia" w:ascii="Times New Roman" w:hAnsi="Times New Roman" w:eastAsia="方正仿宋_GBK" w:cs="Times New Roman"/>
          <w:sz w:val="32"/>
          <w:szCs w:val="32"/>
        </w:rPr>
        <w:t>，不能拆除的装饰</w:t>
      </w:r>
      <w:r>
        <w:rPr>
          <w:rFonts w:hint="eastAsia" w:ascii="Times New Roman" w:hAnsi="Times New Roman" w:eastAsia="方正仿宋_GBK" w:cs="Times New Roman"/>
          <w:sz w:val="32"/>
          <w:szCs w:val="32"/>
          <w:lang w:eastAsia="zh-CN"/>
        </w:rPr>
        <w:t>物</w:t>
      </w:r>
      <w:r>
        <w:rPr>
          <w:rFonts w:hint="eastAsia" w:ascii="Times New Roman" w:hAnsi="Times New Roman" w:eastAsia="方正仿宋_GBK" w:cs="Times New Roman"/>
          <w:sz w:val="32"/>
          <w:szCs w:val="32"/>
        </w:rPr>
        <w:t>，根据房屋合法建筑面积（层高不足、圈舍、简易结构除外）按200元/平方米的标准予以补偿。</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乡镇企业、乡镇村公共设施、公益事业用房等登记为非住宅的房屋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其被</w:t>
      </w:r>
      <w:r>
        <w:rPr>
          <w:rFonts w:hint="eastAsia" w:ascii="Times New Roman" w:hAnsi="Times New Roman" w:eastAsia="方正仿宋_GBK" w:cs="Times New Roman"/>
          <w:sz w:val="32"/>
          <w:szCs w:val="32"/>
        </w:rPr>
        <w:t>拆迁房屋</w:t>
      </w:r>
      <w:r>
        <w:rPr>
          <w:rFonts w:ascii="Times New Roman" w:hAnsi="Times New Roman" w:eastAsia="方正仿宋_GBK" w:cs="Times New Roman"/>
          <w:sz w:val="32"/>
          <w:szCs w:val="32"/>
        </w:rPr>
        <w:t>按重置价格标准</w:t>
      </w:r>
      <w:r>
        <w:rPr>
          <w:rFonts w:hint="eastAsia" w:ascii="Times New Roman" w:hAnsi="Times New Roman" w:eastAsia="方正仿宋_GBK" w:cs="Times New Roman"/>
          <w:sz w:val="32"/>
          <w:szCs w:val="32"/>
        </w:rPr>
        <w:t>予以</w:t>
      </w:r>
      <w:r>
        <w:rPr>
          <w:rFonts w:ascii="Times New Roman" w:hAnsi="Times New Roman" w:eastAsia="方正仿宋_GBK" w:cs="Times New Roman"/>
          <w:sz w:val="32"/>
          <w:szCs w:val="32"/>
        </w:rPr>
        <w:t>补偿</w:t>
      </w:r>
      <w:r>
        <w:rPr>
          <w:rFonts w:hint="eastAsia" w:ascii="Times New Roman" w:hAnsi="Times New Roman" w:eastAsia="方正仿宋_GBK" w:cs="Times New Roman"/>
          <w:sz w:val="32"/>
          <w:szCs w:val="32"/>
        </w:rPr>
        <w:t>，并按重置价格50%的标准另行予以补助。</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房屋</w:t>
      </w:r>
      <w:r>
        <w:rPr>
          <w:rFonts w:ascii="Times New Roman" w:hAnsi="Times New Roman" w:eastAsia="方正仿宋_GBK" w:cs="Times New Roman"/>
          <w:sz w:val="32"/>
          <w:szCs w:val="32"/>
        </w:rPr>
        <w:t>重置价格</w:t>
      </w:r>
      <w:r>
        <w:rPr>
          <w:rFonts w:hint="eastAsia" w:ascii="Times New Roman" w:hAnsi="Times New Roman" w:eastAsia="方正仿宋_GBK" w:cs="Times New Roman"/>
          <w:sz w:val="32"/>
          <w:szCs w:val="32"/>
        </w:rPr>
        <w:t>标准详见附件2，</w:t>
      </w:r>
      <w:r>
        <w:rPr>
          <w:rFonts w:ascii="Times New Roman" w:hAnsi="Times New Roman" w:eastAsia="方正仿宋_GBK" w:cs="Times New Roman"/>
          <w:sz w:val="32"/>
          <w:szCs w:val="32"/>
        </w:rPr>
        <w:t>房屋拆迁附属设施补偿标准</w:t>
      </w:r>
      <w:r>
        <w:rPr>
          <w:rFonts w:hint="eastAsia" w:ascii="Times New Roman" w:hAnsi="Times New Roman" w:eastAsia="方正仿宋_GBK" w:cs="Times New Roman"/>
          <w:sz w:val="32"/>
          <w:szCs w:val="32"/>
        </w:rPr>
        <w:t>详见附件5。</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rPr>
        <w:t>十</w:t>
      </w:r>
      <w:r>
        <w:rPr>
          <w:rFonts w:ascii="方正黑体_GBK" w:hAnsi="方正黑体_GBK" w:eastAsia="方正黑体_GBK" w:cs="方正黑体_GBK"/>
          <w:sz w:val="32"/>
          <w:szCs w:val="32"/>
        </w:rPr>
        <w:t>条</w:t>
      </w:r>
      <w:r>
        <w:rPr>
          <w:rFonts w:ascii="Times New Roman" w:hAnsi="Times New Roman" w:eastAsia="方正仿宋_GBK" w:cs="Times New Roman"/>
          <w:sz w:val="32"/>
          <w:szCs w:val="32"/>
        </w:rPr>
        <w:t xml:space="preserve">  土地征收预公告发布之日，持有合法证照且从事生产经营活动的，</w:t>
      </w:r>
      <w:r>
        <w:rPr>
          <w:rFonts w:hint="eastAsia" w:ascii="Times New Roman" w:hAnsi="Times New Roman" w:eastAsia="方正仿宋_GBK" w:cs="Times New Roman"/>
          <w:sz w:val="32"/>
          <w:szCs w:val="32"/>
        </w:rPr>
        <w:t>根据</w:t>
      </w:r>
      <w:r>
        <w:rPr>
          <w:rFonts w:ascii="Times New Roman" w:hAnsi="Times New Roman" w:eastAsia="方正仿宋_GBK" w:cs="Times New Roman"/>
          <w:sz w:val="32"/>
          <w:szCs w:val="32"/>
        </w:rPr>
        <w:t>生产经营年限、规模、类别、搬迁损失、搬迁难易度等因素综合考虑，对生产经营者一次性给予搬迁补助费。</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（一）农业类</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规模化畜禽养殖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水产养殖</w:t>
      </w:r>
      <w:r>
        <w:rPr>
          <w:rFonts w:hint="eastAsia" w:ascii="Times New Roman" w:hAnsi="Times New Roman" w:eastAsia="方正仿宋_GBK" w:cs="Times New Roman"/>
          <w:sz w:val="32"/>
          <w:szCs w:val="32"/>
        </w:rPr>
        <w:t>按附件7规定标准一次性给予</w:t>
      </w:r>
      <w:r>
        <w:rPr>
          <w:rFonts w:ascii="Times New Roman" w:hAnsi="Times New Roman" w:eastAsia="方正仿宋_GBK" w:cs="Times New Roman"/>
          <w:sz w:val="32"/>
          <w:szCs w:val="32"/>
        </w:rPr>
        <w:t>搬迁</w:t>
      </w:r>
      <w:r>
        <w:rPr>
          <w:rFonts w:hint="eastAsia" w:ascii="Times New Roman" w:hAnsi="Times New Roman" w:eastAsia="方正仿宋_GBK" w:cs="Times New Roman"/>
          <w:sz w:val="32"/>
          <w:szCs w:val="32"/>
        </w:rPr>
        <w:t>补助费；</w:t>
      </w:r>
      <w:r>
        <w:rPr>
          <w:rFonts w:ascii="Times New Roman" w:hAnsi="Times New Roman" w:eastAsia="方正仿宋_GBK" w:cs="Times New Roman"/>
          <w:sz w:val="32"/>
          <w:szCs w:val="32"/>
        </w:rPr>
        <w:t>规模化</w:t>
      </w:r>
      <w:r>
        <w:rPr>
          <w:rFonts w:hint="eastAsia" w:ascii="Times New Roman" w:hAnsi="Times New Roman" w:eastAsia="方正仿宋_GBK" w:cs="Times New Roman"/>
          <w:sz w:val="32"/>
          <w:szCs w:val="32"/>
        </w:rPr>
        <w:t>苗木</w:t>
      </w:r>
      <w:r>
        <w:rPr>
          <w:rFonts w:ascii="Times New Roman" w:hAnsi="Times New Roman" w:eastAsia="方正仿宋_GBK" w:cs="Times New Roman"/>
          <w:sz w:val="32"/>
          <w:szCs w:val="32"/>
        </w:rPr>
        <w:t>种植</w:t>
      </w:r>
      <w:r>
        <w:rPr>
          <w:rFonts w:hint="eastAsia" w:ascii="Times New Roman" w:hAnsi="Times New Roman" w:eastAsia="方正仿宋_GBK" w:cs="Times New Roman"/>
          <w:sz w:val="32"/>
          <w:szCs w:val="32"/>
        </w:rPr>
        <w:t>一次性给予</w:t>
      </w:r>
      <w:r>
        <w:rPr>
          <w:rFonts w:ascii="Times New Roman" w:hAnsi="Times New Roman" w:eastAsia="方正仿宋_GBK" w:cs="Times New Roman"/>
          <w:sz w:val="32"/>
          <w:szCs w:val="32"/>
        </w:rPr>
        <w:t>所搬迁设</w:t>
      </w:r>
      <w:r>
        <w:rPr>
          <w:rFonts w:hint="eastAsia" w:ascii="Times New Roman" w:hAnsi="Times New Roman" w:eastAsia="方正仿宋_GBK" w:cs="Times New Roman"/>
          <w:sz w:val="32"/>
          <w:szCs w:val="32"/>
        </w:rPr>
        <w:t>备、苗木评估</w:t>
      </w:r>
      <w:r>
        <w:rPr>
          <w:rFonts w:ascii="Times New Roman" w:hAnsi="Times New Roman" w:eastAsia="方正仿宋_GBK" w:cs="Times New Roman"/>
          <w:sz w:val="32"/>
          <w:szCs w:val="32"/>
        </w:rPr>
        <w:t>净值20％的搬迁</w:t>
      </w:r>
      <w:r>
        <w:rPr>
          <w:rFonts w:hint="eastAsia" w:ascii="Times New Roman" w:hAnsi="Times New Roman" w:eastAsia="方正仿宋_GBK" w:cs="Times New Roman"/>
          <w:sz w:val="32"/>
          <w:szCs w:val="32"/>
        </w:rPr>
        <w:t>补助费。</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（二）工业类。</w:t>
      </w:r>
      <w:r>
        <w:rPr>
          <w:rFonts w:hint="eastAsia" w:ascii="Times New Roman" w:hAnsi="Times New Roman" w:eastAsia="方正仿宋_GBK" w:cs="Times New Roman"/>
          <w:sz w:val="32"/>
          <w:szCs w:val="32"/>
        </w:rPr>
        <w:t>按</w:t>
      </w:r>
      <w:r>
        <w:rPr>
          <w:rFonts w:ascii="Times New Roman" w:hAnsi="Times New Roman" w:eastAsia="方正仿宋_GBK" w:cs="Times New Roman"/>
          <w:sz w:val="32"/>
          <w:szCs w:val="32"/>
        </w:rPr>
        <w:t>所搬迁设备评估净值</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计算，</w:t>
      </w:r>
      <w:r>
        <w:rPr>
          <w:rFonts w:ascii="Times New Roman" w:hAnsi="Times New Roman" w:eastAsia="方正仿宋_GBK" w:cs="Times New Roman"/>
          <w:sz w:val="32"/>
          <w:szCs w:val="32"/>
        </w:rPr>
        <w:t>一次性</w:t>
      </w:r>
      <w:r>
        <w:rPr>
          <w:rFonts w:hint="eastAsia" w:ascii="Times New Roman" w:hAnsi="Times New Roman" w:eastAsia="方正仿宋_GBK" w:cs="Times New Roman"/>
          <w:sz w:val="32"/>
          <w:szCs w:val="32"/>
        </w:rPr>
        <w:t>给予</w:t>
      </w:r>
      <w:r>
        <w:rPr>
          <w:rFonts w:ascii="Times New Roman" w:hAnsi="Times New Roman" w:eastAsia="方正仿宋_GBK" w:cs="Times New Roman"/>
          <w:sz w:val="32"/>
          <w:szCs w:val="32"/>
        </w:rPr>
        <w:t>搬迁补助费</w:t>
      </w:r>
      <w:r>
        <w:rPr>
          <w:rFonts w:hint="eastAsia" w:ascii="Times New Roman" w:hAnsi="Times New Roman" w:eastAsia="方正仿宋_GBK" w:cs="Times New Roman"/>
          <w:sz w:val="32"/>
          <w:szCs w:val="32"/>
        </w:rPr>
        <w:t>。</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（三）商业服务类。按照</w:t>
      </w:r>
      <w:r>
        <w:rPr>
          <w:rFonts w:hint="eastAsia" w:ascii="Times New Roman" w:hAnsi="Times New Roman" w:eastAsia="方正仿宋_GBK" w:cs="Times New Roman"/>
          <w:sz w:val="32"/>
          <w:szCs w:val="32"/>
        </w:rPr>
        <w:t>房屋</w:t>
      </w:r>
      <w:r>
        <w:rPr>
          <w:rFonts w:ascii="Times New Roman" w:hAnsi="Times New Roman" w:eastAsia="方正仿宋_GBK" w:cs="Times New Roman"/>
          <w:sz w:val="32"/>
          <w:szCs w:val="32"/>
        </w:rPr>
        <w:t>实际经营</w:t>
      </w:r>
      <w:r>
        <w:rPr>
          <w:rFonts w:hint="eastAsia" w:ascii="Times New Roman" w:hAnsi="Times New Roman" w:eastAsia="方正仿宋_GBK" w:cs="Times New Roman"/>
          <w:sz w:val="32"/>
          <w:szCs w:val="32"/>
        </w:rPr>
        <w:t>建筑面积100-400</w:t>
      </w:r>
      <w:r>
        <w:rPr>
          <w:rFonts w:ascii="Times New Roman" w:hAnsi="Times New Roman" w:eastAsia="方正仿宋_GBK" w:cs="Times New Roman"/>
          <w:sz w:val="32"/>
          <w:szCs w:val="32"/>
        </w:rPr>
        <w:t>元／平方米计算</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一次性</w:t>
      </w:r>
      <w:r>
        <w:rPr>
          <w:rFonts w:hint="eastAsia" w:ascii="Times New Roman" w:hAnsi="Times New Roman" w:eastAsia="方正仿宋_GBK" w:cs="Times New Roman"/>
          <w:sz w:val="32"/>
          <w:szCs w:val="32"/>
        </w:rPr>
        <w:t>给予</w:t>
      </w:r>
      <w:r>
        <w:rPr>
          <w:rFonts w:ascii="Times New Roman" w:hAnsi="Times New Roman" w:eastAsia="方正仿宋_GBK" w:cs="Times New Roman"/>
          <w:sz w:val="32"/>
          <w:szCs w:val="32"/>
        </w:rPr>
        <w:t>搬迁补助费</w:t>
      </w:r>
      <w:r>
        <w:rPr>
          <w:rFonts w:hint="eastAsia" w:ascii="Times New Roman" w:hAnsi="Times New Roman" w:eastAsia="方正仿宋_GBK" w:cs="Times New Roman"/>
          <w:sz w:val="32"/>
          <w:szCs w:val="32"/>
        </w:rPr>
        <w:t>，具体标准按项目区位等综合因素，在补偿安置方案中明确</w:t>
      </w:r>
      <w:r>
        <w:rPr>
          <w:rFonts w:ascii="Times New Roman" w:hAnsi="Times New Roman" w:eastAsia="方正仿宋_GBK" w:cs="Times New Roman"/>
          <w:sz w:val="32"/>
          <w:szCs w:val="32"/>
        </w:rPr>
        <w:t>。</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评估的标的物、设备在</w:t>
      </w:r>
      <w:r>
        <w:rPr>
          <w:rFonts w:ascii="Times New Roman" w:hAnsi="Times New Roman" w:eastAsia="方正仿宋_GBK" w:cs="Times New Roman"/>
          <w:sz w:val="32"/>
          <w:szCs w:val="32"/>
        </w:rPr>
        <w:t>搬迁后丧失使用价值的，按照</w:t>
      </w:r>
      <w:r>
        <w:rPr>
          <w:rFonts w:hint="eastAsia" w:ascii="Times New Roman" w:hAnsi="Times New Roman" w:eastAsia="方正仿宋_GBK" w:cs="Times New Roman"/>
          <w:sz w:val="32"/>
          <w:szCs w:val="32"/>
        </w:rPr>
        <w:t>评估</w:t>
      </w:r>
      <w:r>
        <w:rPr>
          <w:rFonts w:ascii="Times New Roman" w:hAnsi="Times New Roman" w:eastAsia="方正仿宋_GBK" w:cs="Times New Roman"/>
          <w:sz w:val="32"/>
          <w:szCs w:val="32"/>
        </w:rPr>
        <w:t>净值补偿。</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w:t>
      </w:r>
      <w:r>
        <w:rPr>
          <w:rFonts w:ascii="Times New Roman" w:hAnsi="Times New Roman" w:eastAsia="方正仿宋_GBK" w:cs="Times New Roman"/>
          <w:sz w:val="32"/>
          <w:szCs w:val="32"/>
        </w:rPr>
        <w:t>生产经营安装的水、电、气、管网等设施按实际安装费用补偿，无法提供实际安装票</w:t>
      </w:r>
      <w:r>
        <w:rPr>
          <w:rFonts w:hint="eastAsia" w:ascii="Times New Roman" w:hAnsi="Times New Roman" w:eastAsia="方正仿宋_GBK" w:cs="Times New Roman"/>
          <w:sz w:val="32"/>
          <w:szCs w:val="32"/>
        </w:rPr>
        <w:t>据</w:t>
      </w:r>
      <w:r>
        <w:rPr>
          <w:rFonts w:ascii="Times New Roman" w:hAnsi="Times New Roman" w:eastAsia="方正仿宋_GBK" w:cs="Times New Roman"/>
          <w:sz w:val="32"/>
          <w:szCs w:val="32"/>
        </w:rPr>
        <w:t>的，按搬迁时</w:t>
      </w:r>
      <w:r>
        <w:rPr>
          <w:rFonts w:hint="eastAsia" w:ascii="Times New Roman" w:hAnsi="Times New Roman" w:eastAsia="方正仿宋_GBK" w:cs="Times New Roman"/>
          <w:sz w:val="32"/>
          <w:szCs w:val="32"/>
        </w:rPr>
        <w:t>相关</w:t>
      </w:r>
      <w:r>
        <w:rPr>
          <w:rFonts w:ascii="Times New Roman" w:hAnsi="Times New Roman" w:eastAsia="方正仿宋_GBK" w:cs="Times New Roman"/>
          <w:sz w:val="32"/>
          <w:szCs w:val="32"/>
        </w:rPr>
        <w:t>部门</w:t>
      </w:r>
      <w:r>
        <w:rPr>
          <w:rFonts w:hint="eastAsia" w:ascii="Times New Roman" w:hAnsi="Times New Roman" w:eastAsia="方正仿宋_GBK" w:cs="Times New Roman"/>
          <w:sz w:val="32"/>
          <w:szCs w:val="32"/>
        </w:rPr>
        <w:t>确定</w:t>
      </w:r>
      <w:r>
        <w:rPr>
          <w:rFonts w:ascii="Times New Roman" w:hAnsi="Times New Roman" w:eastAsia="方正仿宋_GBK" w:cs="Times New Roman"/>
          <w:sz w:val="32"/>
          <w:szCs w:val="32"/>
        </w:rPr>
        <w:t>的安装价格补偿。</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rPr>
        <w:t>一</w:t>
      </w:r>
      <w:r>
        <w:rPr>
          <w:rFonts w:ascii="方正黑体_GBK" w:hAnsi="方正黑体_GBK" w:eastAsia="方正黑体_GBK" w:cs="方正黑体_GBK"/>
          <w:sz w:val="32"/>
          <w:szCs w:val="32"/>
        </w:rPr>
        <w:t>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有下列情形之一的，不予补偿：</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（一）违法建（构）筑物；</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（二）已拆除的房屋、房屋已垮塌的部分；</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（三）在征收土地预公告发布后栽种的青苗及花草、树木等附着物；</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b/>
          <w:bCs/>
          <w:sz w:val="32"/>
          <w:szCs w:val="32"/>
        </w:rPr>
      </w:pPr>
      <w:r>
        <w:rPr>
          <w:rFonts w:hint="eastAsia" w:ascii="Times New Roman" w:hAnsi="Times New Roman" w:eastAsia="方正仿宋_GBK" w:cs="Times New Roman"/>
          <w:sz w:val="32"/>
          <w:szCs w:val="32"/>
        </w:rPr>
        <w:t>（四）在征收土地预公告发布后，新增加的畜禽养殖物、生产经营设施设备等其他不当增加补偿费用的情形。</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b/>
          <w:bCs/>
          <w:sz w:val="32"/>
          <w:szCs w:val="32"/>
        </w:rPr>
      </w:pPr>
      <w:r>
        <w:rPr>
          <w:rFonts w:hint="eastAsia" w:ascii="方正黑体_GBK" w:hAnsi="方正黑体_GBK" w:eastAsia="方正黑体_GBK" w:cs="方正黑体_GBK"/>
          <w:sz w:val="32"/>
          <w:szCs w:val="32"/>
        </w:rPr>
        <w:t xml:space="preserve">第十二条  </w:t>
      </w:r>
      <w:r>
        <w:rPr>
          <w:rFonts w:hint="eastAsia" w:ascii="Times New Roman" w:hAnsi="Times New Roman" w:eastAsia="方正仿宋_GBK" w:cs="Times New Roman"/>
          <w:sz w:val="32"/>
          <w:szCs w:val="32"/>
        </w:rPr>
        <w:t>被征地农村集体经济组织应将区片地价的土地补偿费、安置补助费和其他有关费用按规定分配，并向本集体经济组织成员公布，不得侵占、挪用，同时接受相关单位（部门）的指导、监督和检查。</w:t>
      </w:r>
    </w:p>
    <w:p>
      <w:pPr>
        <w:keepNext w:val="0"/>
        <w:keepLines w:val="0"/>
        <w:pageBreakBefore w:val="0"/>
        <w:widowControl/>
        <w:kinsoku/>
        <w:wordWrap/>
        <w:overflowPunct/>
        <w:topLinePunct w:val="0"/>
        <w:autoSpaceDE/>
        <w:autoSpaceDN/>
        <w:bidi w:val="0"/>
        <w:adjustRightInd/>
        <w:snapToGrid w:val="0"/>
        <w:spacing w:before="581" w:beforeLines="100" w:after="581" w:afterLines="100" w:line="600" w:lineRule="exact"/>
        <w:ind w:left="0" w:leftChars="0" w:right="0" w:rightChars="0" w:firstLine="0" w:firstLineChars="0"/>
        <w:jc w:val="center"/>
        <w:textAlignment w:val="auto"/>
        <w:outlineLvl w:val="9"/>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rPr>
        <w:t>三</w:t>
      </w:r>
      <w:r>
        <w:rPr>
          <w:rFonts w:ascii="方正黑体_GBK" w:hAnsi="方正黑体_GBK" w:eastAsia="方正黑体_GBK" w:cs="方正黑体_GBK"/>
          <w:sz w:val="32"/>
          <w:szCs w:val="32"/>
        </w:rPr>
        <w:t>章</w:t>
      </w:r>
      <w:r>
        <w:rPr>
          <w:rFonts w:hint="eastAsia" w:ascii="方正黑体_GBK" w:hAnsi="方正黑体_GBK" w:eastAsia="方正黑体_GBK" w:cs="方正黑体_GBK"/>
          <w:sz w:val="32"/>
          <w:szCs w:val="32"/>
        </w:rPr>
        <w:t xml:space="preserve">  </w:t>
      </w:r>
      <w:r>
        <w:rPr>
          <w:rFonts w:ascii="方正黑体_GBK" w:hAnsi="方正黑体_GBK" w:eastAsia="方正黑体_GBK" w:cs="方正黑体_GBK"/>
          <w:sz w:val="32"/>
          <w:szCs w:val="32"/>
        </w:rPr>
        <w:t>人员安置</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rPr>
        <w:t>三</w:t>
      </w:r>
      <w:r>
        <w:rPr>
          <w:rFonts w:ascii="方正黑体_GBK" w:hAnsi="方正黑体_GBK" w:eastAsia="方正黑体_GBK" w:cs="方正黑体_GBK"/>
          <w:sz w:val="32"/>
          <w:szCs w:val="32"/>
        </w:rPr>
        <w:t>条</w:t>
      </w:r>
      <w:r>
        <w:rPr>
          <w:rFonts w:ascii="Times New Roman" w:hAnsi="Times New Roman" w:eastAsia="方正仿宋_GBK" w:cs="Times New Roman"/>
          <w:sz w:val="32"/>
          <w:szCs w:val="32"/>
        </w:rPr>
        <w:t xml:space="preserve">  本办法所称人员安置对象应当从征收土地预公告之日计入被征地农村集体经济组织总人口的人员中产生。</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下列人员计入被征地农村集体经济组织总人口：</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（一）户口登记在被征地农村集体经济组织所在地，且取得该农村集体经济组织土地承包经营权的人员；</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（二）因出生、政策性移民将户口登记在被征地农村集体经济组织所在地，且依法享有该农村集体经济组织土地承包经营权的人员；</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（三）因合法收养、合法婚姻将户口从其他农村集体经济组织迁入并</w:t>
      </w:r>
      <w:r>
        <w:rPr>
          <w:rFonts w:ascii="Times New Roman" w:hAnsi="Times New Roman" w:eastAsia="方正仿宋_GBK" w:cs="Times New Roman"/>
          <w:color w:val="auto"/>
          <w:sz w:val="32"/>
          <w:szCs w:val="32"/>
        </w:rPr>
        <w:t>长期</w:t>
      </w:r>
      <w:r>
        <w:rPr>
          <w:rFonts w:ascii="Times New Roman" w:hAnsi="Times New Roman" w:eastAsia="方正仿宋_GBK" w:cs="Times New Roman"/>
          <w:sz w:val="32"/>
          <w:szCs w:val="32"/>
        </w:rPr>
        <w:t>在被征地农村集体经济组织生产生活，且依法享有被征地农村集体经济组织土地承包经营权的人员；</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（四）依法享有被征地农村集体经济组织土地承包经营权的在校大中专学生、现役军士和义务兵、儿童福利机构孤儿、服刑人员；</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（五）按照本市统筹城乡户籍制度改革有关规定保留征地补偿安置权利的人员；</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（六）因其他原因，户口从被征地农村集体经济组织所在地迁出进城落户，但</w:t>
      </w:r>
      <w:r>
        <w:rPr>
          <w:rFonts w:ascii="Times New Roman" w:hAnsi="Times New Roman" w:eastAsia="方正仿宋_GBK" w:cs="Times New Roman"/>
          <w:color w:val="auto"/>
          <w:sz w:val="32"/>
          <w:szCs w:val="32"/>
        </w:rPr>
        <w:t>长期</w:t>
      </w:r>
      <w:r>
        <w:rPr>
          <w:rFonts w:ascii="Times New Roman" w:hAnsi="Times New Roman" w:eastAsia="方正仿宋_GBK" w:cs="Times New Roman"/>
          <w:sz w:val="32"/>
          <w:szCs w:val="32"/>
        </w:rPr>
        <w:t>在被征地农村集体经济组织生产生活，且取得该农村集体经济组织土地承包经营权的人员。</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rPr>
        <w:t>四</w:t>
      </w:r>
      <w:r>
        <w:rPr>
          <w:rFonts w:ascii="方正黑体_GBK" w:hAnsi="方正黑体_GBK" w:eastAsia="方正黑体_GBK" w:cs="方正黑体_GBK"/>
          <w:sz w:val="32"/>
          <w:szCs w:val="32"/>
        </w:rPr>
        <w:t>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符合本办法第十</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条规定但有下列情形</w:t>
      </w:r>
      <w:r>
        <w:rPr>
          <w:rFonts w:hint="eastAsia" w:ascii="Times New Roman" w:hAnsi="Times New Roman" w:eastAsia="方正仿宋_GBK" w:cs="Times New Roman"/>
          <w:sz w:val="32"/>
          <w:szCs w:val="32"/>
        </w:rPr>
        <w:t>之一</w:t>
      </w:r>
      <w:r>
        <w:rPr>
          <w:rFonts w:ascii="Times New Roman" w:hAnsi="Times New Roman" w:eastAsia="方正仿宋_GBK" w:cs="Times New Roman"/>
          <w:sz w:val="32"/>
          <w:szCs w:val="32"/>
        </w:rPr>
        <w:t>的人员，不计入被征地农村集体经济组织总人口：</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（一）征地前已实行征地人员安置的人员；</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（二）国家机关、人民团体、事业单位等在编在职和退休人员</w:t>
      </w:r>
      <w:r>
        <w:rPr>
          <w:rFonts w:hint="eastAsia" w:ascii="Times New Roman" w:hAnsi="Times New Roman" w:eastAsia="方正仿宋_GBK" w:cs="Times New Roman"/>
          <w:sz w:val="32"/>
          <w:szCs w:val="32"/>
        </w:rPr>
        <w:t>。</w:t>
      </w:r>
    </w:p>
    <w:p>
      <w:pPr>
        <w:keepNext w:val="0"/>
        <w:keepLines w:val="0"/>
        <w:pageBreakBefore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rPr>
        <w:t>五</w:t>
      </w:r>
      <w:r>
        <w:rPr>
          <w:rFonts w:ascii="方正黑体_GBK" w:hAnsi="方正黑体_GBK" w:eastAsia="方正黑体_GBK" w:cs="方正黑体_GBK"/>
          <w:sz w:val="32"/>
          <w:szCs w:val="32"/>
        </w:rPr>
        <w:t>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农村集体经济组织的土地被全部征收的，按照本办法计入被征地农村集体经济组织总人口的人员全部为人员安置对象。</w:t>
      </w:r>
    </w:p>
    <w:p>
      <w:pPr>
        <w:keepNext w:val="0"/>
        <w:keepLines w:val="0"/>
        <w:pageBreakBefore w:val="0"/>
        <w:kinsoku/>
        <w:wordWrap/>
        <w:overflowPunct/>
        <w:topLinePunct w:val="0"/>
        <w:autoSpaceDE w:val="0"/>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农村集体经济组织的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占比再除以农村集体经济组织耕地占比。</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b/>
          <w:bCs/>
          <w:sz w:val="32"/>
          <w:szCs w:val="32"/>
        </w:rPr>
      </w:pPr>
      <w:r>
        <w:rPr>
          <w:rFonts w:ascii="Times New Roman" w:hAnsi="Times New Roman" w:eastAsia="方正仿宋_GBK" w:cs="Times New Roman"/>
          <w:sz w:val="32"/>
          <w:szCs w:val="32"/>
        </w:rPr>
        <w:t>前款所称人均土地面积为集体土地所有权证登记的土地总面积（不含已被征收的面积）除以按照本办法计入被征地农村集体经济组织总人口数。前款所称农村集体经济组织耕地占比为集体土地所有权证登记的耕地面积（不含已被征收的面积）占土地总面积（不含已被征收的面积）的比例。</w:t>
      </w:r>
    </w:p>
    <w:p>
      <w:pPr>
        <w:keepNext w:val="0"/>
        <w:keepLines w:val="0"/>
        <w:pageBreakBefore w:val="0"/>
        <w:kinsoku/>
        <w:wordWrap/>
        <w:overflowPunct/>
        <w:topLinePunct w:val="0"/>
        <w:autoSpaceDE w:val="0"/>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rPr>
        <w:t>六</w:t>
      </w:r>
      <w:r>
        <w:rPr>
          <w:rFonts w:ascii="方正黑体_GBK" w:hAnsi="方正黑体_GBK" w:eastAsia="方正黑体_GBK" w:cs="方正黑体_GBK"/>
          <w:sz w:val="32"/>
          <w:szCs w:val="32"/>
        </w:rPr>
        <w:t xml:space="preserve">条 </w:t>
      </w:r>
      <w:r>
        <w:rPr>
          <w:rFonts w:hint="eastAsia" w:ascii="方正黑体_GBK" w:hAnsi="方正黑体_GBK" w:eastAsia="方正黑体_GBK" w:cs="方正黑体_GBK"/>
          <w:sz w:val="32"/>
          <w:szCs w:val="32"/>
        </w:rPr>
        <w:t xml:space="preserve"> </w:t>
      </w:r>
      <w:r>
        <w:rPr>
          <w:rFonts w:ascii="Times New Roman" w:hAnsi="Times New Roman" w:eastAsia="方正仿宋_GBK" w:cs="Times New Roman"/>
          <w:sz w:val="32"/>
          <w:szCs w:val="32"/>
        </w:rPr>
        <w:t>具体的人员安置对象由被征地农村集体经济组织按照</w:t>
      </w:r>
      <w:r>
        <w:rPr>
          <w:rFonts w:hint="default" w:ascii="Times New Roman" w:hAnsi="Times New Roman" w:eastAsia="方正仿宋_GBK" w:cs="Times New Roman"/>
          <w:sz w:val="32"/>
          <w:szCs w:val="32"/>
          <w:u w:val="none"/>
          <w:lang w:val="en-US" w:eastAsia="zh-CN"/>
        </w:rPr>
        <w:t>农户被征地多少和剩余耕地情况在农村集体经济组织总人口中确定。乡镇人民政府（街道办事处）</w:t>
      </w:r>
      <w:r>
        <w:rPr>
          <w:rFonts w:hint="eastAsia" w:ascii="Times New Roman" w:hAnsi="Times New Roman" w:eastAsia="方正仿宋_GBK" w:cs="Times New Roman"/>
          <w:sz w:val="32"/>
          <w:szCs w:val="32"/>
          <w:u w:val="none"/>
          <w:lang w:val="en-US" w:eastAsia="zh-CN"/>
        </w:rPr>
        <w:t>应按以下原则指导农村集体经济组织确定人员安置对象，按照本办法</w:t>
      </w:r>
      <w:r>
        <w:rPr>
          <w:rFonts w:hint="eastAsia" w:eastAsia="方正仿宋_GBK" w:cs="Times New Roman"/>
          <w:sz w:val="32"/>
          <w:szCs w:val="32"/>
          <w:u w:val="none"/>
          <w:lang w:val="en-US" w:eastAsia="zh-CN"/>
        </w:rPr>
        <w:t>第</w:t>
      </w:r>
      <w:r>
        <w:rPr>
          <w:rFonts w:hint="eastAsia" w:ascii="Times New Roman" w:hAnsi="Times New Roman" w:eastAsia="方正仿宋_GBK" w:cs="Times New Roman"/>
          <w:sz w:val="32"/>
          <w:szCs w:val="32"/>
          <w:u w:val="none"/>
          <w:lang w:val="en-US" w:eastAsia="zh-CN"/>
        </w:rPr>
        <w:t>十五条规定计算的人员安置对象人数，全部落实到具体人员</w:t>
      </w:r>
      <w:r>
        <w:rPr>
          <w:rFonts w:hint="default" w:ascii="Times New Roman" w:hAnsi="Times New Roman" w:eastAsia="方正仿宋_GBK" w:cs="Times New Roman"/>
          <w:sz w:val="32"/>
          <w:szCs w:val="32"/>
          <w:u w:val="none"/>
          <w:lang w:val="en-US" w:eastAsia="zh-CN"/>
        </w:rPr>
        <w:t>：征</w:t>
      </w:r>
      <w:r>
        <w:rPr>
          <w:rFonts w:hint="default" w:ascii="Times New Roman" w:hAnsi="Times New Roman" w:eastAsia="方正仿宋_GBK" w:cs="Times New Roman"/>
          <w:sz w:val="32"/>
          <w:szCs w:val="32"/>
          <w:u w:val="none"/>
          <w:lang w:eastAsia="zh-CN"/>
        </w:rPr>
        <w:t>收家庭承包土地产生的人员安置对象人数，</w:t>
      </w:r>
      <w:r>
        <w:rPr>
          <w:rFonts w:hint="default" w:ascii="Times New Roman" w:hAnsi="Times New Roman" w:eastAsia="方正仿宋_GBK" w:cs="Times New Roman"/>
          <w:sz w:val="32"/>
          <w:szCs w:val="32"/>
          <w:u w:val="none"/>
          <w:lang w:val="en-US" w:eastAsia="zh-CN"/>
        </w:rPr>
        <w:t>按照被征收耕地数量在被征地农户中从高到低依次确定；征收未发包土地或者其他方式承包土地产生的人员安置对象人数，按照征地后农户剩余人平耕地数量在被征地农户中从低到高依次确定；</w:t>
      </w:r>
      <w:r>
        <w:rPr>
          <w:rFonts w:hint="default" w:ascii="Times New Roman" w:hAnsi="Times New Roman" w:eastAsia="方正仿宋_GBK" w:cs="Times New Roman"/>
          <w:sz w:val="32"/>
          <w:szCs w:val="32"/>
          <w:u w:val="none"/>
        </w:rPr>
        <w:t>只征收未发包土地的，由村民会议讨论确定具体人员。</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b/>
          <w:bCs/>
          <w:sz w:val="32"/>
          <w:szCs w:val="32"/>
        </w:rPr>
      </w:pPr>
      <w:r>
        <w:rPr>
          <w:rFonts w:ascii="Times New Roman" w:hAnsi="Times New Roman" w:eastAsia="方正仿宋_GBK" w:cs="Times New Roman"/>
          <w:sz w:val="32"/>
          <w:szCs w:val="32"/>
        </w:rPr>
        <w:t>具体的人员安置对象</w:t>
      </w:r>
      <w:r>
        <w:rPr>
          <w:rFonts w:hint="eastAsia" w:ascii="Times New Roman" w:hAnsi="Times New Roman" w:eastAsia="方正仿宋_GBK" w:cs="Times New Roman"/>
          <w:sz w:val="32"/>
          <w:szCs w:val="32"/>
        </w:rPr>
        <w:t>由</w:t>
      </w:r>
      <w:r>
        <w:rPr>
          <w:rFonts w:ascii="Times New Roman" w:hAnsi="Times New Roman" w:eastAsia="方正仿宋_GBK" w:cs="Times New Roman"/>
          <w:sz w:val="32"/>
          <w:szCs w:val="32"/>
        </w:rPr>
        <w:t>乡镇人民政府（街道办事处）</w:t>
      </w:r>
      <w:r>
        <w:rPr>
          <w:rFonts w:hint="eastAsia" w:ascii="Times New Roman" w:hAnsi="Times New Roman" w:eastAsia="方正仿宋_GBK" w:cs="Times New Roman"/>
          <w:sz w:val="32"/>
          <w:szCs w:val="32"/>
        </w:rPr>
        <w:t>会同农业农村部门、村（居委）组织被征地</w:t>
      </w:r>
      <w:r>
        <w:rPr>
          <w:rFonts w:ascii="Times New Roman" w:hAnsi="Times New Roman" w:eastAsia="方正仿宋_GBK" w:cs="Times New Roman"/>
          <w:sz w:val="32"/>
          <w:szCs w:val="32"/>
        </w:rPr>
        <w:t>农村集体经济组织</w:t>
      </w:r>
      <w:r>
        <w:rPr>
          <w:rFonts w:hint="eastAsia" w:ascii="Times New Roman" w:hAnsi="Times New Roman" w:eastAsia="方正仿宋_GBK" w:cs="Times New Roman"/>
          <w:sz w:val="32"/>
          <w:szCs w:val="32"/>
        </w:rPr>
        <w:t>召开被征地户户长会确定，拟安置人员经</w:t>
      </w:r>
      <w:r>
        <w:rPr>
          <w:rFonts w:ascii="Times New Roman" w:hAnsi="Times New Roman" w:eastAsia="方正仿宋_GBK" w:cs="Times New Roman"/>
          <w:sz w:val="32"/>
          <w:szCs w:val="32"/>
        </w:rPr>
        <w:t>公示7日无异议后，报乡镇人民政府（街道办事处）初审，</w:t>
      </w:r>
      <w:r>
        <w:rPr>
          <w:rFonts w:hint="eastAsia" w:ascii="Times New Roman" w:hAnsi="Times New Roman" w:eastAsia="方正仿宋_GBK" w:cs="Times New Roman"/>
          <w:sz w:val="32"/>
          <w:szCs w:val="32"/>
          <w:lang w:eastAsia="zh-CN"/>
        </w:rPr>
        <w:t>区土地和房屋征收</w:t>
      </w:r>
      <w:r>
        <w:rPr>
          <w:rFonts w:hint="eastAsia" w:ascii="Times New Roman" w:hAnsi="Times New Roman" w:eastAsia="方正仿宋_GBK" w:cs="Times New Roman"/>
          <w:sz w:val="32"/>
          <w:szCs w:val="32"/>
          <w:u w:val="none"/>
          <w:lang w:val="en-US" w:eastAsia="zh-CN"/>
        </w:rPr>
        <w:t>部门</w:t>
      </w:r>
      <w:r>
        <w:rPr>
          <w:rFonts w:ascii="Times New Roman" w:hAnsi="Times New Roman" w:eastAsia="方正仿宋_GBK" w:cs="Times New Roman"/>
          <w:sz w:val="32"/>
          <w:szCs w:val="32"/>
        </w:rPr>
        <w:t>会同区规划自然资源、人力社保</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公安、农业农村等部门复核，</w:t>
      </w:r>
      <w:r>
        <w:rPr>
          <w:rFonts w:hint="eastAsia" w:ascii="Times New Roman" w:hAnsi="Times New Roman" w:eastAsia="方正仿宋_GBK" w:cs="Times New Roman"/>
          <w:sz w:val="32"/>
          <w:szCs w:val="32"/>
        </w:rPr>
        <w:t>报</w:t>
      </w:r>
      <w:r>
        <w:rPr>
          <w:rFonts w:ascii="Times New Roman" w:hAnsi="Times New Roman" w:eastAsia="方正仿宋_GBK" w:cs="Times New Roman"/>
          <w:sz w:val="32"/>
          <w:szCs w:val="32"/>
        </w:rPr>
        <w:t>区人民政府核准。</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rPr>
        <w:t>七</w:t>
      </w:r>
      <w:r>
        <w:rPr>
          <w:rFonts w:ascii="方正黑体_GBK" w:hAnsi="方正黑体_GBK" w:eastAsia="方正黑体_GBK" w:cs="方正黑体_GBK"/>
          <w:sz w:val="32"/>
          <w:szCs w:val="32"/>
        </w:rPr>
        <w:t>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区人民政府应当</w:t>
      </w:r>
      <w:r>
        <w:rPr>
          <w:rFonts w:ascii="Times New Roman" w:hAnsi="Times New Roman" w:eastAsia="方正仿宋_GBK" w:cs="Times New Roman"/>
          <w:kern w:val="0"/>
          <w:sz w:val="32"/>
          <w:szCs w:val="32"/>
        </w:rPr>
        <w:t>将符合条件的人员</w:t>
      </w:r>
      <w:r>
        <w:rPr>
          <w:rFonts w:ascii="Times New Roman" w:hAnsi="Times New Roman" w:eastAsia="方正仿宋_GBK" w:cs="Times New Roman"/>
          <w:color w:val="000000"/>
          <w:kern w:val="0"/>
          <w:sz w:val="32"/>
          <w:szCs w:val="32"/>
        </w:rPr>
        <w:t>安置对象纳入相应的养老等社会保障体系，并安排人员安置对象的社会保障费用，主要用于人员安置对象的养老保险等社会保险缴费补贴。</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人员安置对象的基本养老保险缴费补贴办法</w:t>
      </w:r>
      <w:r>
        <w:rPr>
          <w:rFonts w:hint="eastAsia" w:ascii="Times New Roman" w:hAnsi="Times New Roman" w:eastAsia="方正仿宋_GBK" w:cs="Times New Roman"/>
          <w:color w:val="000000"/>
          <w:kern w:val="0"/>
          <w:sz w:val="32"/>
          <w:szCs w:val="32"/>
        </w:rPr>
        <w:t>以</w:t>
      </w:r>
      <w:r>
        <w:rPr>
          <w:rFonts w:ascii="Times New Roman" w:hAnsi="Times New Roman" w:eastAsia="方正仿宋_GBK" w:cs="Times New Roman"/>
          <w:color w:val="000000"/>
          <w:kern w:val="0"/>
          <w:sz w:val="32"/>
          <w:szCs w:val="32"/>
        </w:rPr>
        <w:t>及社会保障费用的筹集、管理和使用办法，</w:t>
      </w:r>
      <w:r>
        <w:rPr>
          <w:rFonts w:hint="eastAsia" w:ascii="Times New Roman" w:hAnsi="Times New Roman" w:eastAsia="方正仿宋_GBK" w:cs="Times New Roman"/>
          <w:sz w:val="32"/>
          <w:szCs w:val="32"/>
        </w:rPr>
        <w:t>按相关规定执行</w:t>
      </w:r>
      <w:r>
        <w:rPr>
          <w:rFonts w:ascii="Times New Roman" w:hAnsi="Times New Roman" w:eastAsia="方正仿宋_GBK" w:cs="Times New Roman"/>
          <w:color w:val="000000"/>
          <w:kern w:val="0"/>
          <w:sz w:val="32"/>
          <w:szCs w:val="32"/>
        </w:rPr>
        <w:t>。</w:t>
      </w:r>
    </w:p>
    <w:p>
      <w:pPr>
        <w:keepNext w:val="0"/>
        <w:keepLines w:val="0"/>
        <w:pageBreakBefore w:val="0"/>
        <w:kinsoku/>
        <w:wordWrap/>
        <w:overflowPunct/>
        <w:topLinePunct w:val="0"/>
        <w:autoSpaceDE w:val="0"/>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rPr>
        <w:t>八</w:t>
      </w:r>
      <w:r>
        <w:rPr>
          <w:rFonts w:ascii="方正黑体_GBK" w:hAnsi="方正黑体_GBK" w:eastAsia="方正黑体_GBK" w:cs="方正黑体_GBK"/>
          <w:sz w:val="32"/>
          <w:szCs w:val="32"/>
        </w:rPr>
        <w:t>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人力社保</w:t>
      </w:r>
      <w:r>
        <w:rPr>
          <w:rFonts w:hint="eastAsia" w:ascii="Times New Roman" w:hAnsi="Times New Roman" w:eastAsia="方正仿宋_GBK" w:cs="Times New Roman"/>
          <w:sz w:val="32"/>
          <w:szCs w:val="32"/>
        </w:rPr>
        <w:t>部门应当</w:t>
      </w:r>
      <w:r>
        <w:rPr>
          <w:rFonts w:ascii="Times New Roman" w:hAnsi="Times New Roman" w:eastAsia="方正仿宋_GBK" w:cs="Times New Roman"/>
          <w:sz w:val="32"/>
          <w:szCs w:val="32"/>
        </w:rPr>
        <w:t>将劳动力年龄段</w:t>
      </w:r>
      <w:r>
        <w:rPr>
          <w:rFonts w:hint="eastAsia" w:ascii="Times New Roman" w:hAnsi="Times New Roman" w:eastAsia="方正仿宋_GBK" w:cs="Times New Roman"/>
          <w:sz w:val="32"/>
          <w:szCs w:val="32"/>
        </w:rPr>
        <w:t>具</w:t>
      </w:r>
      <w:r>
        <w:rPr>
          <w:rFonts w:ascii="Times New Roman" w:hAnsi="Times New Roman" w:eastAsia="方正仿宋_GBK" w:cs="Times New Roman"/>
          <w:sz w:val="32"/>
          <w:szCs w:val="32"/>
        </w:rPr>
        <w:t>有劳动能力、有就业需求的人员安置对象纳入公共就业服务范围，组织开展就业创业服务活动，促进其就业创业。</w:t>
      </w:r>
    </w:p>
    <w:p>
      <w:pPr>
        <w:keepNext w:val="0"/>
        <w:keepLines w:val="0"/>
        <w:pageBreakBefore w:val="0"/>
        <w:widowControl/>
        <w:kinsoku/>
        <w:wordWrap/>
        <w:overflowPunct/>
        <w:topLinePunct w:val="0"/>
        <w:autoSpaceDE/>
        <w:autoSpaceDN/>
        <w:bidi w:val="0"/>
        <w:adjustRightInd/>
        <w:snapToGrid w:val="0"/>
        <w:spacing w:before="581" w:beforeLines="100" w:after="581" w:afterLines="100" w:line="600" w:lineRule="exact"/>
        <w:ind w:left="0" w:leftChars="0" w:right="0" w:rightChars="0" w:firstLine="0" w:firstLineChars="0"/>
        <w:jc w:val="center"/>
        <w:textAlignment w:val="auto"/>
        <w:outlineLvl w:val="9"/>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住房安置</w:t>
      </w:r>
    </w:p>
    <w:p>
      <w:pPr>
        <w:pStyle w:val="16"/>
        <w:keepNext w:val="0"/>
        <w:keepLines w:val="0"/>
        <w:pageBreakBefore w:val="0"/>
        <w:widowControl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rPr>
        <w:t>十九</w:t>
      </w:r>
      <w:r>
        <w:rPr>
          <w:rFonts w:ascii="方正黑体_GBK" w:hAnsi="方正黑体_GBK" w:eastAsia="方正黑体_GBK" w:cs="方正黑体_GBK"/>
          <w:sz w:val="32"/>
          <w:szCs w:val="32"/>
        </w:rPr>
        <w:t>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农村集体经济组织</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土地被全部征收的，按照本办法计入被征地农村集体经济组织总人口</w:t>
      </w:r>
      <w:r>
        <w:rPr>
          <w:rFonts w:hint="eastAsia" w:ascii="Times New Roman" w:hAnsi="Times New Roman" w:eastAsia="方正仿宋_GBK" w:cs="Times New Roman"/>
          <w:sz w:val="32"/>
          <w:szCs w:val="32"/>
        </w:rPr>
        <w:t>且享有被征地农村集体经济组织宅基地权利</w:t>
      </w:r>
      <w:r>
        <w:rPr>
          <w:rFonts w:ascii="Times New Roman" w:hAnsi="Times New Roman" w:eastAsia="方正仿宋_GBK" w:cs="Times New Roman"/>
          <w:sz w:val="32"/>
          <w:szCs w:val="32"/>
        </w:rPr>
        <w:t>的人员全部为住房安置对象。</w:t>
      </w:r>
    </w:p>
    <w:p>
      <w:pPr>
        <w:keepNext w:val="0"/>
        <w:keepLines w:val="0"/>
        <w:pageBreakBefore w:val="0"/>
        <w:kinsoku/>
        <w:wordWrap/>
        <w:overflowPunct/>
        <w:topLinePunct w:val="0"/>
        <w:autoSpaceDE w:val="0"/>
        <w:bidi w:val="0"/>
        <w:adjustRightInd w:val="0"/>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农村集体经济组织</w:t>
      </w:r>
      <w:r>
        <w:rPr>
          <w:rFonts w:hint="eastAsia" w:ascii="Times New Roman" w:hAnsi="Times New Roman" w:eastAsia="方正仿宋_GBK" w:cs="Times New Roman"/>
          <w:color w:val="000000"/>
          <w:kern w:val="0"/>
          <w:sz w:val="32"/>
          <w:szCs w:val="32"/>
        </w:rPr>
        <w:t>的</w:t>
      </w:r>
      <w:r>
        <w:rPr>
          <w:rFonts w:ascii="Times New Roman" w:hAnsi="Times New Roman" w:eastAsia="方正仿宋_GBK" w:cs="Times New Roman"/>
          <w:color w:val="000000"/>
          <w:kern w:val="0"/>
          <w:sz w:val="32"/>
          <w:szCs w:val="32"/>
        </w:rPr>
        <w:t>土地被部分征收的，</w:t>
      </w:r>
      <w:r>
        <w:rPr>
          <w:rFonts w:hint="eastAsia" w:ascii="Times New Roman" w:hAnsi="Times New Roman" w:eastAsia="方正仿宋_GBK" w:cs="Times New Roman"/>
          <w:color w:val="000000"/>
          <w:kern w:val="0"/>
          <w:sz w:val="32"/>
          <w:szCs w:val="32"/>
        </w:rPr>
        <w:t>在</w:t>
      </w:r>
      <w:r>
        <w:rPr>
          <w:rFonts w:ascii="Times New Roman" w:hAnsi="Times New Roman" w:eastAsia="方正仿宋_GBK" w:cs="Times New Roman"/>
          <w:color w:val="000000"/>
          <w:kern w:val="0"/>
          <w:sz w:val="32"/>
          <w:szCs w:val="32"/>
        </w:rPr>
        <w:t>征收土地预公告之日，</w:t>
      </w:r>
      <w:r>
        <w:rPr>
          <w:rFonts w:ascii="Times New Roman" w:hAnsi="Times New Roman" w:eastAsia="方正仿宋_GBK" w:cs="Times New Roman"/>
          <w:color w:val="auto"/>
          <w:kern w:val="0"/>
          <w:sz w:val="32"/>
          <w:szCs w:val="32"/>
        </w:rPr>
        <w:t>持有征地范围内被</w:t>
      </w:r>
      <w:r>
        <w:rPr>
          <w:rFonts w:hint="eastAsia" w:ascii="Times New Roman" w:hAnsi="Times New Roman" w:eastAsia="方正仿宋_GBK" w:cs="Times New Roman"/>
          <w:color w:val="auto"/>
          <w:kern w:val="0"/>
          <w:sz w:val="32"/>
          <w:szCs w:val="32"/>
        </w:rPr>
        <w:t>拆</w:t>
      </w:r>
      <w:r>
        <w:rPr>
          <w:rFonts w:ascii="Times New Roman" w:hAnsi="Times New Roman" w:eastAsia="方正仿宋_GBK" w:cs="Times New Roman"/>
          <w:color w:val="auto"/>
          <w:kern w:val="0"/>
          <w:sz w:val="32"/>
          <w:szCs w:val="32"/>
        </w:rPr>
        <w:t>迁住房</w:t>
      </w:r>
      <w:r>
        <w:rPr>
          <w:rFonts w:hint="eastAsia" w:ascii="Times New Roman" w:hAnsi="Times New Roman" w:eastAsia="方正仿宋_GBK" w:cs="Times New Roman"/>
          <w:color w:val="auto"/>
          <w:kern w:val="0"/>
          <w:sz w:val="32"/>
          <w:szCs w:val="32"/>
        </w:rPr>
        <w:t>的</w:t>
      </w:r>
      <w:r>
        <w:rPr>
          <w:rFonts w:ascii="Times New Roman" w:hAnsi="Times New Roman" w:eastAsia="方正仿宋_GBK" w:cs="Times New Roman"/>
          <w:color w:val="auto"/>
          <w:kern w:val="0"/>
          <w:sz w:val="32"/>
          <w:szCs w:val="32"/>
        </w:rPr>
        <w:t>不动产权属证书</w:t>
      </w:r>
      <w:r>
        <w:rPr>
          <w:rFonts w:ascii="Times New Roman" w:hAnsi="Times New Roman" w:eastAsia="方正仿宋_GBK" w:cs="Times New Roman"/>
          <w:color w:val="000000"/>
          <w:kern w:val="0"/>
          <w:sz w:val="32"/>
          <w:szCs w:val="32"/>
        </w:rPr>
        <w:t>，且按照本办法计入被征地农村集体经济组织总人口的人员为住房安置对象。</w:t>
      </w:r>
    </w:p>
    <w:p>
      <w:pPr>
        <w:keepNext w:val="0"/>
        <w:keepLines w:val="0"/>
        <w:pageBreakBefore w:val="0"/>
        <w:kinsoku/>
        <w:wordWrap/>
        <w:overflowPunct/>
        <w:topLinePunct w:val="0"/>
        <w:autoSpaceDE w:val="0"/>
        <w:bidi w:val="0"/>
        <w:adjustRightInd w:val="0"/>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征地前已实行</w:t>
      </w:r>
      <w:r>
        <w:rPr>
          <w:rFonts w:hint="eastAsia" w:ascii="Times New Roman" w:hAnsi="Times New Roman" w:eastAsia="方正仿宋_GBK" w:cs="Times New Roman"/>
          <w:color w:val="000000"/>
          <w:kern w:val="0"/>
          <w:sz w:val="32"/>
          <w:szCs w:val="32"/>
        </w:rPr>
        <w:t>征地</w:t>
      </w:r>
      <w:r>
        <w:rPr>
          <w:rFonts w:ascii="Times New Roman" w:hAnsi="Times New Roman" w:eastAsia="方正仿宋_GBK" w:cs="Times New Roman"/>
          <w:color w:val="000000"/>
          <w:kern w:val="0"/>
          <w:sz w:val="32"/>
          <w:szCs w:val="32"/>
        </w:rPr>
        <w:t>人员安置但住房未</w:t>
      </w:r>
      <w:r>
        <w:rPr>
          <w:rFonts w:hint="eastAsia" w:ascii="Times New Roman" w:hAnsi="Times New Roman" w:eastAsia="方正仿宋_GBK" w:cs="Times New Roman"/>
          <w:color w:val="000000"/>
          <w:kern w:val="0"/>
          <w:sz w:val="32"/>
          <w:szCs w:val="32"/>
        </w:rPr>
        <w:t>被拆</w:t>
      </w:r>
      <w:r>
        <w:rPr>
          <w:rFonts w:ascii="Times New Roman" w:hAnsi="Times New Roman" w:eastAsia="方正仿宋_GBK" w:cs="Times New Roman"/>
          <w:color w:val="000000"/>
          <w:kern w:val="0"/>
          <w:sz w:val="32"/>
          <w:szCs w:val="32"/>
        </w:rPr>
        <w:t>迁的人员，在其住房</w:t>
      </w:r>
      <w:r>
        <w:rPr>
          <w:rFonts w:hint="eastAsia" w:ascii="Times New Roman" w:hAnsi="Times New Roman" w:eastAsia="方正仿宋_GBK" w:cs="Times New Roman"/>
          <w:color w:val="000000"/>
          <w:kern w:val="0"/>
          <w:sz w:val="32"/>
          <w:szCs w:val="32"/>
        </w:rPr>
        <w:t>拆</w:t>
      </w:r>
      <w:r>
        <w:rPr>
          <w:rFonts w:ascii="Times New Roman" w:hAnsi="Times New Roman" w:eastAsia="方正仿宋_GBK" w:cs="Times New Roman"/>
          <w:color w:val="000000"/>
          <w:kern w:val="0"/>
          <w:sz w:val="32"/>
          <w:szCs w:val="32"/>
        </w:rPr>
        <w:t>迁时纳入住房安置对象范围。</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方正黑体_GBK" w:hAnsi="方正黑体_GBK" w:eastAsia="方正黑体_GBK" w:cs="方正黑体_GBK"/>
          <w:sz w:val="32"/>
          <w:szCs w:val="32"/>
        </w:rPr>
        <w:t>第二</w:t>
      </w:r>
      <w:r>
        <w:rPr>
          <w:rFonts w:hint="eastAsia" w:ascii="方正黑体_GBK" w:hAnsi="方正黑体_GBK" w:eastAsia="方正黑体_GBK" w:cs="方正黑体_GBK"/>
          <w:sz w:val="32"/>
          <w:szCs w:val="32"/>
        </w:rPr>
        <w:t>十</w:t>
      </w:r>
      <w:r>
        <w:rPr>
          <w:rFonts w:ascii="方正黑体_GBK" w:hAnsi="方正黑体_GBK" w:eastAsia="方正黑体_GBK" w:cs="方正黑体_GBK"/>
          <w:sz w:val="32"/>
          <w:szCs w:val="32"/>
        </w:rPr>
        <w:t>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符合本办法第十九条规定但</w:t>
      </w:r>
      <w:r>
        <w:rPr>
          <w:rFonts w:hint="eastAsia" w:ascii="Times New Roman" w:hAnsi="Times New Roman" w:eastAsia="方正仿宋_GBK" w:cs="Times New Roman"/>
          <w:color w:val="000000"/>
          <w:kern w:val="0"/>
          <w:sz w:val="32"/>
          <w:szCs w:val="32"/>
        </w:rPr>
        <w:t>有下列情形之一的人员，不属于住房安置对象：</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（一）本办法施行前已实行征地住房安置的人员；</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b/>
          <w:bCs/>
          <w:color w:val="000000"/>
          <w:kern w:val="0"/>
          <w:sz w:val="32"/>
          <w:szCs w:val="32"/>
        </w:rPr>
      </w:pPr>
      <w:r>
        <w:rPr>
          <w:rFonts w:hint="eastAsia" w:ascii="Times New Roman" w:hAnsi="Times New Roman" w:eastAsia="方正仿宋_GBK" w:cs="Times New Roman"/>
          <w:color w:val="000000"/>
          <w:kern w:val="0"/>
          <w:sz w:val="32"/>
          <w:szCs w:val="32"/>
        </w:rPr>
        <w:t>（二）</w:t>
      </w:r>
      <w:r>
        <w:rPr>
          <w:rFonts w:ascii="Times New Roman" w:hAnsi="Times New Roman" w:eastAsia="方正仿宋_GBK" w:cs="Times New Roman"/>
          <w:color w:val="000000"/>
          <w:kern w:val="0"/>
          <w:sz w:val="32"/>
          <w:szCs w:val="32"/>
        </w:rPr>
        <w:t>已</w:t>
      </w:r>
      <w:r>
        <w:rPr>
          <w:rFonts w:hint="eastAsia" w:ascii="Times New Roman" w:hAnsi="Times New Roman" w:eastAsia="方正仿宋_GBK" w:cs="Times New Roman"/>
          <w:color w:val="000000"/>
          <w:kern w:val="0"/>
          <w:sz w:val="32"/>
          <w:szCs w:val="32"/>
        </w:rPr>
        <w:t>享受</w:t>
      </w:r>
      <w:r>
        <w:rPr>
          <w:rFonts w:ascii="Times New Roman" w:hAnsi="Times New Roman" w:eastAsia="方正仿宋_GBK" w:cs="Times New Roman"/>
          <w:color w:val="000000"/>
          <w:kern w:val="0"/>
          <w:sz w:val="32"/>
          <w:szCs w:val="32"/>
        </w:rPr>
        <w:t>福利分房、划拨国有土地上自建房以及由单位修建并销售给职工的经济适用房等政策性实物住房的人员</w:t>
      </w:r>
      <w:r>
        <w:rPr>
          <w:rFonts w:hint="eastAsia" w:ascii="Times New Roman" w:hAnsi="Times New Roman" w:eastAsia="方正仿宋_GBK" w:cs="Times New Roman"/>
          <w:color w:val="000000"/>
          <w:kern w:val="0"/>
          <w:sz w:val="32"/>
          <w:szCs w:val="32"/>
        </w:rPr>
        <w:t>。</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rPr>
        <w:t>二</w:t>
      </w:r>
      <w:r>
        <w:rPr>
          <w:rFonts w:ascii="方正黑体_GBK" w:hAnsi="方正黑体_GBK" w:eastAsia="方正黑体_GBK" w:cs="方正黑体_GBK"/>
          <w:sz w:val="32"/>
          <w:szCs w:val="32"/>
        </w:rPr>
        <w:t>十</w:t>
      </w:r>
      <w:r>
        <w:rPr>
          <w:rFonts w:hint="eastAsia" w:ascii="方正黑体_GBK" w:hAnsi="方正黑体_GBK" w:eastAsia="方正黑体_GBK" w:cs="方正黑体_GBK"/>
          <w:sz w:val="32"/>
          <w:szCs w:val="32"/>
        </w:rPr>
        <w:t>一</w:t>
      </w:r>
      <w:r>
        <w:rPr>
          <w:rFonts w:ascii="方正黑体_GBK" w:hAnsi="方正黑体_GBK" w:eastAsia="方正黑体_GBK" w:cs="方正黑体_GBK"/>
          <w:sz w:val="32"/>
          <w:szCs w:val="32"/>
        </w:rPr>
        <w:t>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住房安置</w:t>
      </w:r>
      <w:r>
        <w:rPr>
          <w:rFonts w:ascii="Times New Roman" w:hAnsi="Times New Roman" w:eastAsia="方正仿宋_GBK" w:cs="Times New Roman"/>
          <w:sz w:val="32"/>
          <w:szCs w:val="32"/>
        </w:rPr>
        <w:t>可以采取农村宅基地自建安置、安置房安置或者货币安置等方式。住房安置对象应当以户为单位统一选择一种</w:t>
      </w:r>
      <w:r>
        <w:rPr>
          <w:rFonts w:hint="eastAsia" w:ascii="Times New Roman" w:hAnsi="Times New Roman" w:eastAsia="方正仿宋_GBK" w:cs="Times New Roman"/>
          <w:sz w:val="32"/>
          <w:szCs w:val="32"/>
        </w:rPr>
        <w:t>安置</w:t>
      </w:r>
      <w:r>
        <w:rPr>
          <w:rFonts w:ascii="Times New Roman" w:hAnsi="Times New Roman" w:eastAsia="方正仿宋_GBK" w:cs="Times New Roman"/>
          <w:sz w:val="32"/>
          <w:szCs w:val="32"/>
        </w:rPr>
        <w:t>方式，一处宅基地上的</w:t>
      </w:r>
      <w:r>
        <w:rPr>
          <w:rFonts w:hint="eastAsia" w:ascii="Times New Roman" w:hAnsi="Times New Roman" w:eastAsia="方正仿宋_GBK" w:cs="Times New Roman"/>
          <w:sz w:val="32"/>
          <w:szCs w:val="32"/>
        </w:rPr>
        <w:t>住房</w:t>
      </w:r>
      <w:r>
        <w:rPr>
          <w:rFonts w:ascii="Times New Roman" w:hAnsi="Times New Roman" w:eastAsia="方正仿宋_GBK" w:cs="Times New Roman"/>
          <w:sz w:val="32"/>
          <w:szCs w:val="32"/>
        </w:rPr>
        <w:t>计为一户</w:t>
      </w:r>
      <w:r>
        <w:rPr>
          <w:rFonts w:hint="eastAsia" w:ascii="Times New Roman" w:hAnsi="Times New Roman" w:eastAsia="方正仿宋_GBK" w:cs="Times New Roman"/>
          <w:sz w:val="32"/>
          <w:szCs w:val="32"/>
        </w:rPr>
        <w:t>，但符合我区宅基地分户条件且已分户居住的除外。</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选择农村宅基地自建安置的，应当符合乡镇土地利用总体规划、村庄规划，以及国家和本市关于宅基地建房的有关规定。</w:t>
      </w:r>
    </w:p>
    <w:p>
      <w:pPr>
        <w:keepNext w:val="0"/>
        <w:keepLines w:val="0"/>
        <w:pageBreakBefore w:val="0"/>
        <w:kinsoku/>
        <w:wordWrap/>
        <w:overflowPunct/>
        <w:topLinePunct w:val="0"/>
        <w:bidi w:val="0"/>
        <w:spacing w:line="600" w:lineRule="exact"/>
        <w:ind w:firstLine="640" w:firstLineChars="200"/>
        <w:textAlignment w:val="auto"/>
      </w:pPr>
      <w:r>
        <w:rPr>
          <w:rFonts w:ascii="Times New Roman" w:hAnsi="Times New Roman" w:eastAsia="方正仿宋_GBK" w:cs="Times New Roman"/>
          <w:sz w:val="32"/>
          <w:szCs w:val="32"/>
        </w:rPr>
        <w:t>住房安置对象采取安置房安置或者货币安置后，该户家庭成员不得再申请农村宅基地新建住房。</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二</w:t>
      </w:r>
      <w:r>
        <w:rPr>
          <w:rFonts w:ascii="方正黑体_GBK" w:hAnsi="方正黑体_GBK" w:eastAsia="方正黑体_GBK" w:cs="方正黑体_GBK"/>
          <w:sz w:val="32"/>
          <w:szCs w:val="32"/>
        </w:rPr>
        <w:t>条</w:t>
      </w:r>
      <w:r>
        <w:rPr>
          <w:rFonts w:ascii="Times New Roman" w:hAnsi="Times New Roman" w:eastAsia="方正仿宋_GBK" w:cs="Times New Roman"/>
          <w:sz w:val="32"/>
          <w:szCs w:val="32"/>
        </w:rPr>
        <w:t xml:space="preserve">  农村宅基地自建安置的，其被拆迁住房按房屋重置价格</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标准</w:t>
      </w:r>
      <w:r>
        <w:rPr>
          <w:rFonts w:hint="eastAsia" w:ascii="Times New Roman" w:hAnsi="Times New Roman" w:eastAsia="方正仿宋_GBK" w:cs="Times New Roman"/>
          <w:sz w:val="32"/>
          <w:szCs w:val="32"/>
        </w:rPr>
        <w:t>另行</w:t>
      </w:r>
      <w:r>
        <w:rPr>
          <w:rFonts w:ascii="Times New Roman" w:hAnsi="Times New Roman" w:eastAsia="方正仿宋_GBK" w:cs="Times New Roman"/>
          <w:sz w:val="32"/>
          <w:szCs w:val="32"/>
        </w:rPr>
        <w:t>予以自建住房补</w:t>
      </w:r>
      <w:r>
        <w:rPr>
          <w:rFonts w:hint="eastAsia" w:ascii="Times New Roman" w:hAnsi="Times New Roman" w:eastAsia="方正仿宋_GBK" w:cs="Times New Roman"/>
          <w:sz w:val="32"/>
          <w:szCs w:val="32"/>
        </w:rPr>
        <w:t>助</w:t>
      </w:r>
      <w:r>
        <w:rPr>
          <w:rFonts w:ascii="Times New Roman" w:hAnsi="Times New Roman" w:eastAsia="方正仿宋_GBK" w:cs="Times New Roman"/>
          <w:sz w:val="32"/>
          <w:szCs w:val="32"/>
        </w:rPr>
        <w:t>，并对住房安置对象以户为单位给予一次性</w:t>
      </w:r>
      <w:r>
        <w:rPr>
          <w:rFonts w:hint="eastAsia" w:ascii="Times New Roman" w:hAnsi="Times New Roman" w:eastAsia="方正仿宋_GBK" w:cs="Times New Roman"/>
          <w:sz w:val="32"/>
          <w:szCs w:val="32"/>
        </w:rPr>
        <w:t>新</w:t>
      </w:r>
      <w:r>
        <w:rPr>
          <w:rFonts w:ascii="Times New Roman" w:hAnsi="Times New Roman" w:eastAsia="方正仿宋_GBK" w:cs="Times New Roman"/>
          <w:sz w:val="32"/>
          <w:szCs w:val="32"/>
        </w:rPr>
        <w:t>自建住房</w:t>
      </w:r>
      <w:r>
        <w:rPr>
          <w:rFonts w:hint="eastAsia" w:ascii="Times New Roman" w:hAnsi="Times New Roman" w:eastAsia="方正仿宋_GBK" w:cs="Times New Roman"/>
          <w:sz w:val="32"/>
          <w:szCs w:val="32"/>
        </w:rPr>
        <w:t>宅基地</w:t>
      </w:r>
      <w:r>
        <w:rPr>
          <w:rFonts w:ascii="Times New Roman" w:hAnsi="Times New Roman" w:eastAsia="方正仿宋_GBK" w:cs="Times New Roman"/>
          <w:sz w:val="32"/>
          <w:szCs w:val="32"/>
        </w:rPr>
        <w:t>补</w:t>
      </w:r>
      <w:r>
        <w:rPr>
          <w:rFonts w:hint="eastAsia" w:ascii="Times New Roman" w:hAnsi="Times New Roman" w:eastAsia="方正仿宋_GBK" w:cs="Times New Roman"/>
          <w:sz w:val="32"/>
          <w:szCs w:val="32"/>
        </w:rPr>
        <w:t>贴。</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房屋重置价格标准</w:t>
      </w:r>
      <w:r>
        <w:rPr>
          <w:rFonts w:hint="eastAsia" w:ascii="Times New Roman" w:hAnsi="Times New Roman" w:eastAsia="方正仿宋_GBK" w:cs="Times New Roman"/>
          <w:sz w:val="32"/>
          <w:szCs w:val="32"/>
        </w:rPr>
        <w:t>详见附件2，新</w:t>
      </w:r>
      <w:r>
        <w:rPr>
          <w:rFonts w:ascii="Times New Roman" w:hAnsi="Times New Roman" w:eastAsia="方正仿宋_GBK" w:cs="Times New Roman"/>
          <w:sz w:val="32"/>
          <w:szCs w:val="32"/>
        </w:rPr>
        <w:t>自建住房</w:t>
      </w:r>
      <w:r>
        <w:rPr>
          <w:rFonts w:hint="eastAsia" w:ascii="Times New Roman" w:hAnsi="Times New Roman" w:eastAsia="方正仿宋_GBK" w:cs="Times New Roman"/>
          <w:sz w:val="32"/>
          <w:szCs w:val="32"/>
        </w:rPr>
        <w:t>宅基地</w:t>
      </w:r>
      <w:r>
        <w:rPr>
          <w:rFonts w:ascii="Times New Roman" w:hAnsi="Times New Roman" w:eastAsia="方正仿宋_GBK" w:cs="Times New Roman"/>
          <w:sz w:val="32"/>
          <w:szCs w:val="32"/>
        </w:rPr>
        <w:t>补</w:t>
      </w:r>
      <w:r>
        <w:rPr>
          <w:rFonts w:hint="eastAsia" w:ascii="Times New Roman" w:hAnsi="Times New Roman" w:eastAsia="方正仿宋_GBK" w:cs="Times New Roman"/>
          <w:sz w:val="32"/>
          <w:szCs w:val="32"/>
        </w:rPr>
        <w:t>贴标准详见附件6。</w:t>
      </w:r>
    </w:p>
    <w:p>
      <w:pPr>
        <w:keepNext w:val="0"/>
        <w:keepLines w:val="0"/>
        <w:pageBreakBefore w:val="0"/>
        <w:kinsoku/>
        <w:wordWrap/>
        <w:overflowPunct/>
        <w:topLinePunct w:val="0"/>
        <w:autoSpaceDE w:val="0"/>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三</w:t>
      </w:r>
      <w:r>
        <w:rPr>
          <w:rFonts w:ascii="方正黑体_GBK" w:hAnsi="方正黑体_GBK" w:eastAsia="方正黑体_GBK" w:cs="方正黑体_GBK"/>
          <w:sz w:val="32"/>
          <w:szCs w:val="32"/>
        </w:rPr>
        <w:t>条</w:t>
      </w:r>
      <w:r>
        <w:rPr>
          <w:rFonts w:ascii="Times New Roman" w:hAnsi="Times New Roman" w:eastAsia="方正仿宋_GBK" w:cs="Times New Roman"/>
          <w:sz w:val="32"/>
          <w:szCs w:val="32"/>
        </w:rPr>
        <w:t xml:space="preserve">  安置房安置或者货币安置的，住房安置对象的住房安置建筑面积标准为每人</w:t>
      </w:r>
      <w:r>
        <w:rPr>
          <w:rFonts w:hint="eastAsia" w:ascii="Times New Roman" w:hAnsi="Times New Roman" w:eastAsia="方正仿宋_GBK" w:cs="Times New Roman"/>
          <w:sz w:val="32"/>
          <w:szCs w:val="32"/>
        </w:rPr>
        <w:t>30</w:t>
      </w:r>
      <w:r>
        <w:rPr>
          <w:rFonts w:ascii="Times New Roman" w:hAnsi="Times New Roman" w:eastAsia="方正仿宋_GBK" w:cs="Times New Roman"/>
          <w:sz w:val="32"/>
          <w:szCs w:val="32"/>
        </w:rPr>
        <w:t>平方米。</w:t>
      </w:r>
    </w:p>
    <w:p>
      <w:pPr>
        <w:keepNext w:val="0"/>
        <w:keepLines w:val="0"/>
        <w:pageBreakBefore w:val="0"/>
        <w:kinsoku/>
        <w:wordWrap/>
        <w:overflowPunct/>
        <w:topLinePunct w:val="0"/>
        <w:autoSpaceDE w:val="0"/>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四</w:t>
      </w:r>
      <w:r>
        <w:rPr>
          <w:rFonts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rPr>
        <w:t xml:space="preserve"> </w:t>
      </w:r>
      <w:r>
        <w:rPr>
          <w:rFonts w:hint="eastAsia" w:ascii="Times New Roman" w:hAnsi="Times New Roman" w:eastAsia="方正仿宋_GBK" w:cs="Times New Roman"/>
          <w:sz w:val="32"/>
          <w:szCs w:val="32"/>
        </w:rPr>
        <w:t xml:space="preserve"> 特殊对象的住房安置</w:t>
      </w:r>
    </w:p>
    <w:p>
      <w:pPr>
        <w:keepNext w:val="0"/>
        <w:keepLines w:val="0"/>
        <w:pageBreakBefore w:val="0"/>
        <w:kinsoku/>
        <w:wordWrap/>
        <w:overflowPunct/>
        <w:topLinePunct w:val="0"/>
        <w:autoSpaceDE w:val="0"/>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住房安置对象夫妻双方均无子女的，实行安置房安置或者货币安置时，可以申请增加15平方米建筑面积的住房。</w:t>
      </w:r>
    </w:p>
    <w:p>
      <w:pPr>
        <w:pStyle w:val="16"/>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color w:val="auto"/>
          <w:sz w:val="32"/>
          <w:szCs w:val="32"/>
        </w:rPr>
      </w:pPr>
      <w:r>
        <w:rPr>
          <w:rFonts w:hint="eastAsia" w:ascii="方正仿宋_GBK" w:hAnsi="方正仿宋_GBK" w:eastAsia="方正仿宋_GBK" w:cs="方正仿宋_GBK"/>
          <w:color w:val="auto"/>
          <w:sz w:val="32"/>
          <w:szCs w:val="32"/>
        </w:rPr>
        <w:t>住房安置对象符合再生育政策，在征收土地预公告之日凭妇检医学证明已孕且持有《生育服务证》的，</w:t>
      </w:r>
      <w:r>
        <w:rPr>
          <w:rFonts w:hint="eastAsia" w:ascii="Times New Roman" w:hAnsi="Times New Roman" w:eastAsia="方正仿宋_GBK" w:cs="Times New Roman"/>
          <w:color w:val="auto"/>
          <w:sz w:val="32"/>
          <w:szCs w:val="32"/>
        </w:rPr>
        <w:t>实行安置房安置或者货币安置时，</w:t>
      </w:r>
      <w:r>
        <w:rPr>
          <w:rFonts w:ascii="Times New Roman" w:hAnsi="Times New Roman" w:eastAsia="方正仿宋_GBK" w:cs="Times New Roman"/>
          <w:color w:val="auto"/>
          <w:sz w:val="32"/>
          <w:szCs w:val="32"/>
        </w:rPr>
        <w:t>可以申请增加15平方米建筑面积的住房。</w:t>
      </w:r>
    </w:p>
    <w:p>
      <w:pPr>
        <w:keepNext w:val="0"/>
        <w:keepLines w:val="0"/>
        <w:pageBreakBefore w:val="0"/>
        <w:kinsoku/>
        <w:wordWrap/>
        <w:overflowPunct/>
        <w:topLinePunct w:val="0"/>
        <w:autoSpaceDE w:val="0"/>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（二）住房安置对象的配偶或者未成年子女，不属于被征地农村集体经济组织总人口范围，</w:t>
      </w:r>
      <w:r>
        <w:rPr>
          <w:rFonts w:ascii="Times New Roman" w:hAnsi="Times New Roman" w:eastAsia="方正仿宋_GBK" w:cs="Times New Roman"/>
          <w:sz w:val="32"/>
          <w:szCs w:val="32"/>
        </w:rPr>
        <w:t>但</w:t>
      </w:r>
      <w:r>
        <w:rPr>
          <w:rFonts w:hint="eastAsia" w:ascii="Times New Roman" w:hAnsi="Times New Roman" w:eastAsia="方正仿宋_GBK" w:cs="Times New Roman"/>
          <w:sz w:val="32"/>
          <w:szCs w:val="32"/>
        </w:rPr>
        <w:t>同时符合下列条件的，实行安置房安置或者货币安置时，可以申请15平方米建筑面积的住房，与住房安置对象合并安置：</w:t>
      </w:r>
    </w:p>
    <w:p>
      <w:pPr>
        <w:keepNext w:val="0"/>
        <w:keepLines w:val="0"/>
        <w:pageBreakBefore w:val="0"/>
        <w:kinsoku/>
        <w:wordWrap/>
        <w:overflowPunct/>
        <w:topLinePunct w:val="0"/>
        <w:autoSpaceDE w:val="0"/>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Times New Roman" w:hAnsi="方正仿宋_GBK" w:eastAsia="方正仿宋_GBK" w:cs="方正仿宋_GBK"/>
          <w:color w:val="auto"/>
          <w:sz w:val="32"/>
          <w:szCs w:val="20"/>
        </w:rPr>
        <w:t>长期</w:t>
      </w:r>
      <w:r>
        <w:rPr>
          <w:rFonts w:hint="eastAsia" w:ascii="Times New Roman" w:hAnsi="方正仿宋_GBK" w:eastAsia="方正仿宋_GBK" w:cs="方正仿宋_GBK"/>
          <w:sz w:val="32"/>
          <w:szCs w:val="20"/>
        </w:rPr>
        <w:t>居住在被征地范围内；</w:t>
      </w:r>
    </w:p>
    <w:p>
      <w:pPr>
        <w:keepNext w:val="0"/>
        <w:keepLines w:val="0"/>
        <w:pageBreakBefore w:val="0"/>
        <w:kinsoku/>
        <w:wordWrap/>
        <w:overflowPunct/>
        <w:topLinePunct w:val="0"/>
        <w:autoSpaceDE w:val="0"/>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2.征地前未</w:t>
      </w:r>
      <w:r>
        <w:rPr>
          <w:rFonts w:ascii="Times New Roman" w:hAnsi="Times New Roman" w:eastAsia="方正仿宋_GBK" w:cs="Times New Roman"/>
          <w:sz w:val="32"/>
          <w:szCs w:val="32"/>
        </w:rPr>
        <w:t>实行</w:t>
      </w:r>
      <w:r>
        <w:rPr>
          <w:rFonts w:hint="eastAsia" w:ascii="Times New Roman" w:hAnsi="Times New Roman" w:eastAsia="方正仿宋_GBK" w:cs="Times New Roman"/>
          <w:sz w:val="32"/>
          <w:szCs w:val="32"/>
        </w:rPr>
        <w:t>征地住房安置；</w:t>
      </w:r>
    </w:p>
    <w:p>
      <w:pPr>
        <w:keepNext w:val="0"/>
        <w:keepLines w:val="0"/>
        <w:pageBreakBefore w:val="0"/>
        <w:kinsoku/>
        <w:wordWrap/>
        <w:overflowPunct/>
        <w:topLinePunct w:val="0"/>
        <w:autoSpaceDE w:val="0"/>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住房安置对象及其配偶、未成年子女均无商品房、农村住房和享受过福利房、经济适用房、安置房等住房</w:t>
      </w:r>
      <w:r>
        <w:rPr>
          <w:rFonts w:hint="eastAsia" w:ascii="Times New Roman" w:hAnsi="Times New Roman" w:eastAsia="方正仿宋_GBK" w:cs="Times New Roman"/>
          <w:sz w:val="32"/>
          <w:szCs w:val="32"/>
        </w:rPr>
        <w:t>；</w:t>
      </w:r>
    </w:p>
    <w:p>
      <w:pPr>
        <w:keepNext w:val="0"/>
        <w:keepLines w:val="0"/>
        <w:pageBreakBefore w:val="0"/>
        <w:kinsoku/>
        <w:wordWrap/>
        <w:overflowPunct/>
        <w:topLinePunct w:val="0"/>
        <w:autoSpaceDE w:val="0"/>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4.不享有其他农村集体经济组织宅基地权利。</w:t>
      </w:r>
    </w:p>
    <w:p>
      <w:pPr>
        <w:keepNext w:val="0"/>
        <w:keepLines w:val="0"/>
        <w:pageBreakBefore w:val="0"/>
        <w:kinsoku/>
        <w:wordWrap/>
        <w:overflowPunct/>
        <w:topLinePunct w:val="0"/>
        <w:autoSpaceDE w:val="0"/>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五</w:t>
      </w:r>
      <w:r>
        <w:rPr>
          <w:rFonts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rPr>
        <w:t xml:space="preserve">  </w:t>
      </w:r>
      <w:r>
        <w:rPr>
          <w:rFonts w:hint="eastAsia" w:ascii="Times New Roman" w:hAnsi="Times New Roman" w:eastAsia="方正仿宋_GBK" w:cs="Times New Roman"/>
          <w:sz w:val="32"/>
          <w:szCs w:val="32"/>
        </w:rPr>
        <w:t>不计入被征地农村集体经济组织总人口的人员，</w:t>
      </w:r>
      <w:r>
        <w:rPr>
          <w:rFonts w:ascii="Times New Roman" w:hAnsi="Times New Roman" w:eastAsia="方正仿宋_GBK" w:cs="Times New Roman"/>
          <w:sz w:val="32"/>
          <w:szCs w:val="32"/>
        </w:rPr>
        <w:t>通过买卖、继承、赠与、交换、分家析产、司法处置等方式取得被拆迁房屋所有权证书，</w:t>
      </w:r>
      <w:r>
        <w:rPr>
          <w:rFonts w:hint="eastAsia" w:ascii="Times New Roman" w:hAnsi="Times New Roman" w:eastAsia="方正仿宋_GBK" w:cs="Times New Roman"/>
          <w:sz w:val="32"/>
          <w:szCs w:val="32"/>
        </w:rPr>
        <w:t>该家庭无其他住房的</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房屋被拆迁时房屋产权人可申请按建安造价的50%优惠购买30平方米建筑面积的住房，其配偶、未成年子女可申请优惠购买15平方米建筑面积的住房。</w:t>
      </w:r>
    </w:p>
    <w:p>
      <w:pPr>
        <w:keepNext w:val="0"/>
        <w:keepLines w:val="0"/>
        <w:pageBreakBefore w:val="0"/>
        <w:kinsoku/>
        <w:wordWrap/>
        <w:overflowPunct/>
        <w:topLinePunct w:val="0"/>
        <w:autoSpaceDE w:val="0"/>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六</w:t>
      </w:r>
      <w:r>
        <w:rPr>
          <w:rFonts w:ascii="方正黑体_GBK" w:hAnsi="方正黑体_GBK" w:eastAsia="方正黑体_GBK" w:cs="方正黑体_GBK"/>
          <w:sz w:val="32"/>
          <w:szCs w:val="32"/>
        </w:rPr>
        <w:t>条</w:t>
      </w:r>
      <w:r>
        <w:rPr>
          <w:rFonts w:ascii="Times New Roman" w:hAnsi="Times New Roman" w:eastAsia="方正仿宋_GBK" w:cs="Times New Roman"/>
          <w:sz w:val="32"/>
          <w:szCs w:val="32"/>
        </w:rPr>
        <w:t xml:space="preserve">  安置房安置的，应安置建筑面积的部分，按照砖混结构房屋的重置价格</w:t>
      </w:r>
      <w:r>
        <w:rPr>
          <w:rFonts w:hint="eastAsia" w:ascii="Times New Roman" w:hAnsi="Times New Roman" w:eastAsia="方正仿宋_GBK" w:cs="Times New Roman"/>
          <w:sz w:val="32"/>
          <w:szCs w:val="32"/>
        </w:rPr>
        <w:t>标准每平方米820元</w:t>
      </w:r>
      <w:r>
        <w:rPr>
          <w:rFonts w:ascii="Times New Roman" w:hAnsi="Times New Roman" w:eastAsia="方正仿宋_GBK" w:cs="Times New Roman"/>
          <w:sz w:val="32"/>
          <w:szCs w:val="32"/>
        </w:rPr>
        <w:t>购买。</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因户型设计等原因，以户为单位，安置房超过应安置建筑面积</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小于10</w:t>
      </w:r>
      <w:r>
        <w:rPr>
          <w:rFonts w:ascii="Times New Roman" w:hAnsi="Times New Roman" w:eastAsia="方正仿宋_GBK" w:cs="Times New Roman"/>
          <w:sz w:val="32"/>
          <w:szCs w:val="32"/>
        </w:rPr>
        <w:t>平方米</w:t>
      </w:r>
      <w:r>
        <w:rPr>
          <w:rFonts w:hint="eastAsia" w:ascii="Times New Roman" w:hAnsi="Times New Roman" w:eastAsia="方正仿宋_GBK" w:cs="Times New Roman"/>
          <w:sz w:val="32"/>
          <w:szCs w:val="32"/>
          <w:lang w:eastAsia="zh-CN"/>
        </w:rPr>
        <w:t>（含</w:t>
      </w:r>
      <w:r>
        <w:rPr>
          <w:rFonts w:hint="eastAsia" w:ascii="Times New Roman" w:hAnsi="Times New Roman" w:eastAsia="方正仿宋_GBK" w:cs="Times New Roman"/>
          <w:sz w:val="32"/>
          <w:szCs w:val="32"/>
          <w:lang w:val="en-US" w:eastAsia="zh-CN"/>
        </w:rPr>
        <w:t>10平方米</w:t>
      </w:r>
      <w:r>
        <w:rPr>
          <w:rFonts w:hint="eastAsia" w:ascii="Times New Roman" w:hAnsi="Times New Roman" w:eastAsia="方正仿宋_GBK" w:cs="Times New Roman"/>
          <w:sz w:val="32"/>
          <w:szCs w:val="32"/>
          <w:lang w:eastAsia="zh-CN"/>
        </w:rPr>
        <w:t>）的</w:t>
      </w:r>
      <w:r>
        <w:rPr>
          <w:rFonts w:ascii="Times New Roman" w:hAnsi="Times New Roman" w:eastAsia="方正仿宋_GBK" w:cs="Times New Roman"/>
          <w:sz w:val="32"/>
          <w:szCs w:val="32"/>
        </w:rPr>
        <w:t>部分，按照安置房建安造价的50%购买；超过应安置建筑面积</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平方米以</w:t>
      </w:r>
      <w:r>
        <w:rPr>
          <w:rFonts w:hint="eastAsia" w:ascii="Times New Roman" w:hAnsi="Times New Roman" w:eastAsia="方正仿宋_GBK" w:cs="Times New Roman"/>
          <w:sz w:val="32"/>
          <w:szCs w:val="32"/>
        </w:rPr>
        <w:t>上，</w:t>
      </w:r>
      <w:r>
        <w:rPr>
          <w:rFonts w:hint="eastAsia" w:ascii="Times New Roman" w:hAnsi="Times New Roman" w:eastAsia="方正仿宋_GBK" w:cs="Times New Roman"/>
          <w:sz w:val="32"/>
          <w:szCs w:val="32"/>
          <w:lang w:eastAsia="zh-CN"/>
        </w:rPr>
        <w:t>小于</w:t>
      </w:r>
      <w:r>
        <w:rPr>
          <w:rFonts w:hint="eastAsia" w:ascii="Times New Roman" w:hAnsi="Times New Roman" w:eastAsia="方正仿宋_GBK" w:cs="Times New Roman"/>
          <w:sz w:val="32"/>
          <w:szCs w:val="32"/>
        </w:rPr>
        <w:t>15</w:t>
      </w:r>
      <w:r>
        <w:rPr>
          <w:rFonts w:ascii="Times New Roman" w:hAnsi="Times New Roman" w:eastAsia="方正仿宋_GBK" w:cs="Times New Roman"/>
          <w:sz w:val="32"/>
          <w:szCs w:val="32"/>
        </w:rPr>
        <w:t>平方米</w:t>
      </w:r>
      <w:r>
        <w:rPr>
          <w:rFonts w:hint="eastAsia" w:ascii="Times New Roman" w:hAnsi="Times New Roman" w:eastAsia="方正仿宋_GBK" w:cs="Times New Roman"/>
          <w:sz w:val="32"/>
          <w:szCs w:val="32"/>
          <w:lang w:eastAsia="zh-CN"/>
        </w:rPr>
        <w:t>（含</w:t>
      </w:r>
      <w:r>
        <w:rPr>
          <w:rFonts w:hint="eastAsia" w:ascii="Times New Roman" w:hAnsi="Times New Roman" w:eastAsia="方正仿宋_GBK" w:cs="Times New Roman"/>
          <w:sz w:val="32"/>
          <w:szCs w:val="32"/>
          <w:lang w:val="en-US" w:eastAsia="zh-CN"/>
        </w:rPr>
        <w:t>15平方米</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的部分，按照安置房建安造价购买；超过应安置建筑面积</w:t>
      </w:r>
      <w:r>
        <w:rPr>
          <w:rFonts w:hint="eastAsia" w:ascii="Times New Roman" w:hAnsi="Times New Roman" w:eastAsia="方正仿宋_GBK" w:cs="Times New Roman"/>
          <w:sz w:val="32"/>
          <w:szCs w:val="32"/>
        </w:rPr>
        <w:t>15</w:t>
      </w:r>
      <w:r>
        <w:rPr>
          <w:rFonts w:ascii="Times New Roman" w:hAnsi="Times New Roman" w:eastAsia="方正仿宋_GBK" w:cs="Times New Roman"/>
          <w:sz w:val="32"/>
          <w:szCs w:val="32"/>
        </w:rPr>
        <w:t>平方米以上的部分，按照住房货币安置价格标准购买。</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因户型设计、</w:t>
      </w:r>
      <w:r>
        <w:rPr>
          <w:rFonts w:hint="eastAsia" w:ascii="Times New Roman" w:hAnsi="Times New Roman" w:eastAsia="方正仿宋_GBK" w:cs="Times New Roman"/>
          <w:sz w:val="32"/>
          <w:szCs w:val="32"/>
        </w:rPr>
        <w:t>住房安置对象</w:t>
      </w:r>
      <w:r>
        <w:rPr>
          <w:rFonts w:ascii="Times New Roman" w:hAnsi="Times New Roman" w:eastAsia="方正仿宋_GBK" w:cs="Times New Roman"/>
          <w:sz w:val="32"/>
          <w:szCs w:val="32"/>
        </w:rPr>
        <w:t>意愿等原因，购买安置房未达到应安置建筑面积的，不足部分按照住房货币安置价格标准</w:t>
      </w:r>
      <w:r>
        <w:rPr>
          <w:rFonts w:hint="eastAsia" w:ascii="Times New Roman" w:hAnsi="Times New Roman" w:eastAsia="方正仿宋_GBK" w:cs="Times New Roman"/>
          <w:sz w:val="32"/>
          <w:szCs w:val="32"/>
        </w:rPr>
        <w:t>支付</w:t>
      </w:r>
      <w:r>
        <w:rPr>
          <w:rFonts w:ascii="Times New Roman" w:hAnsi="Times New Roman" w:eastAsia="方正仿宋_GBK" w:cs="Times New Roman"/>
          <w:sz w:val="32"/>
          <w:szCs w:val="32"/>
        </w:rPr>
        <w:t>给住房安置对象。</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安置房建安造价由区住房城乡建设部门会同</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规划自然资源部门核定，与本实施办法同步公布。</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七</w:t>
      </w:r>
      <w:r>
        <w:rPr>
          <w:rFonts w:ascii="方正黑体_GBK" w:hAnsi="方正黑体_GBK" w:eastAsia="方正黑体_GBK" w:cs="方正黑体_GBK"/>
          <w:sz w:val="32"/>
          <w:szCs w:val="32"/>
        </w:rPr>
        <w:t>条</w:t>
      </w:r>
      <w:r>
        <w:rPr>
          <w:rFonts w:ascii="Times New Roman" w:hAnsi="Times New Roman" w:eastAsia="方正仿宋_GBK" w:cs="Times New Roman"/>
          <w:sz w:val="32"/>
          <w:szCs w:val="32"/>
        </w:rPr>
        <w:t xml:space="preserve">  安置房应当在国有土地上建设。</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由</w:t>
      </w:r>
      <w:r>
        <w:rPr>
          <w:rFonts w:ascii="Times New Roman" w:hAnsi="Times New Roman" w:eastAsia="方正仿宋_GBK" w:cs="Times New Roman"/>
          <w:sz w:val="32"/>
          <w:szCs w:val="32"/>
        </w:rPr>
        <w:t>安置房建设单位安排安置房的建设资金、首期物业专项维修资金以及居民用电、自来水、天然气、有线电视的安装费用。</w:t>
      </w:r>
      <w:r>
        <w:rPr>
          <w:rFonts w:hint="eastAsia"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val="0"/>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八</w:t>
      </w:r>
      <w:r>
        <w:rPr>
          <w:rFonts w:ascii="方正黑体_GBK" w:hAnsi="方正黑体_GBK" w:eastAsia="方正黑体_GBK" w:cs="方正黑体_GBK"/>
          <w:sz w:val="32"/>
          <w:szCs w:val="32"/>
        </w:rPr>
        <w:t>条</w:t>
      </w:r>
      <w:r>
        <w:rPr>
          <w:rFonts w:ascii="Times New Roman" w:hAnsi="Times New Roman" w:eastAsia="方正仿宋_GBK" w:cs="Times New Roman"/>
          <w:sz w:val="32"/>
          <w:szCs w:val="32"/>
        </w:rPr>
        <w:t xml:space="preserve">  住房货币安置的，货币安置款额等于住房货币安置价格标准乘以应安置建筑面积。</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住房货币安置</w:t>
      </w:r>
      <w:r>
        <w:rPr>
          <w:rFonts w:hint="eastAsia" w:ascii="Times New Roman" w:hAnsi="Times New Roman" w:eastAsia="方正仿宋_GBK" w:cs="Times New Roman"/>
          <w:sz w:val="32"/>
          <w:szCs w:val="32"/>
        </w:rPr>
        <w:t>价格标准由区人民政府参照征地范围周边普通商品住房平均价格与砖混结构房屋重置价格标准之差确定。</w:t>
      </w:r>
    </w:p>
    <w:p>
      <w:pPr>
        <w:pStyle w:val="16"/>
        <w:keepNext w:val="0"/>
        <w:keepLines w:val="0"/>
        <w:pageBreakBefore w:val="0"/>
        <w:kinsoku/>
        <w:wordWrap/>
        <w:overflowPunct/>
        <w:topLinePunct w:val="0"/>
        <w:bidi w:val="0"/>
        <w:spacing w:line="600" w:lineRule="exact"/>
        <w:textAlignment w:val="auto"/>
        <w:rPr>
          <w:rFonts w:ascii="Times New Roman" w:hAnsi="Times New Roman" w:eastAsia="方正仿宋_GBK" w:cs="Times New Roman"/>
          <w:color w:val="auto"/>
          <w:sz w:val="32"/>
          <w:szCs w:val="32"/>
        </w:rPr>
      </w:pPr>
      <w:r>
        <w:rPr>
          <w:rFonts w:hint="eastAsia"/>
        </w:rPr>
        <w:t xml:space="preserve">     </w:t>
      </w:r>
      <w:r>
        <w:rPr>
          <w:rFonts w:hint="eastAsia"/>
          <w:color w:val="auto"/>
        </w:rPr>
        <w:t xml:space="preserve"> </w:t>
      </w:r>
      <w:r>
        <w:rPr>
          <w:rFonts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rPr>
        <w:t>二十九</w:t>
      </w:r>
      <w:r>
        <w:rPr>
          <w:rFonts w:ascii="方正黑体_GBK" w:hAnsi="方正黑体_GBK" w:eastAsia="方正黑体_GBK" w:cs="方正黑体_GBK"/>
          <w:sz w:val="32"/>
          <w:szCs w:val="32"/>
        </w:rPr>
        <w:t>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住房安置对象合法拥有两处以上（含两处）农村住房的，只在其享有宅基地权利的住房被拆迁时安置1次住房，不得重复安置住房。</w:t>
      </w:r>
      <w:r>
        <w:rPr>
          <w:rFonts w:ascii="Times New Roman" w:hAnsi="Times New Roman" w:eastAsia="方正仿宋_GBK" w:cs="Times New Roman"/>
          <w:color w:val="auto"/>
          <w:sz w:val="32"/>
          <w:szCs w:val="32"/>
        </w:rPr>
        <w:t>其</w:t>
      </w:r>
      <w:r>
        <w:rPr>
          <w:rFonts w:hint="eastAsia" w:ascii="Times New Roman" w:hAnsi="Times New Roman" w:eastAsia="方正仿宋_GBK" w:cs="Times New Roman"/>
          <w:color w:val="auto"/>
          <w:sz w:val="32"/>
          <w:szCs w:val="32"/>
        </w:rPr>
        <w:t>不予安置的</w:t>
      </w:r>
      <w:r>
        <w:rPr>
          <w:rFonts w:ascii="Times New Roman" w:hAnsi="Times New Roman" w:eastAsia="方正仿宋_GBK" w:cs="Times New Roman"/>
          <w:color w:val="auto"/>
          <w:sz w:val="32"/>
          <w:szCs w:val="32"/>
        </w:rPr>
        <w:t>被</w:t>
      </w:r>
      <w:r>
        <w:rPr>
          <w:rFonts w:hint="eastAsia" w:ascii="Times New Roman" w:hAnsi="Times New Roman" w:eastAsia="方正仿宋_GBK" w:cs="Times New Roman"/>
          <w:color w:val="auto"/>
          <w:sz w:val="32"/>
          <w:szCs w:val="32"/>
        </w:rPr>
        <w:t>拆迁房屋</w:t>
      </w:r>
      <w:r>
        <w:rPr>
          <w:rFonts w:ascii="Times New Roman" w:hAnsi="Times New Roman" w:eastAsia="方正仿宋_GBK" w:cs="Times New Roman"/>
          <w:color w:val="auto"/>
          <w:sz w:val="32"/>
          <w:szCs w:val="32"/>
        </w:rPr>
        <w:t>按</w:t>
      </w:r>
      <w:r>
        <w:rPr>
          <w:rFonts w:hint="eastAsia" w:ascii="Times New Roman" w:hAnsi="Times New Roman" w:eastAsia="方正仿宋_GBK" w:cs="Times New Roman"/>
          <w:color w:val="auto"/>
          <w:sz w:val="32"/>
          <w:szCs w:val="32"/>
        </w:rPr>
        <w:t>附件2</w:t>
      </w:r>
      <w:r>
        <w:rPr>
          <w:rFonts w:ascii="Times New Roman" w:hAnsi="Times New Roman" w:eastAsia="方正仿宋_GBK" w:cs="Times New Roman"/>
          <w:color w:val="auto"/>
          <w:sz w:val="32"/>
          <w:szCs w:val="32"/>
        </w:rPr>
        <w:t>重置价格标准予以补</w:t>
      </w:r>
      <w:r>
        <w:rPr>
          <w:rFonts w:hint="eastAsia" w:ascii="Times New Roman" w:hAnsi="Times New Roman" w:eastAsia="方正仿宋_GBK" w:cs="Times New Roman"/>
          <w:color w:val="auto"/>
          <w:sz w:val="32"/>
          <w:szCs w:val="32"/>
        </w:rPr>
        <w:t>偿，</w:t>
      </w:r>
      <w:r>
        <w:rPr>
          <w:rFonts w:hint="eastAsia" w:ascii="Times New Roman" w:hAnsi="Times New Roman" w:eastAsia="方正仿宋_GBK" w:cs="Times New Roman"/>
          <w:sz w:val="32"/>
          <w:szCs w:val="32"/>
        </w:rPr>
        <w:t>并按重置价格50%的标准另行予以补助</w:t>
      </w:r>
      <w:r>
        <w:rPr>
          <w:rFonts w:hint="eastAsia" w:ascii="Times New Roman" w:hAnsi="Times New Roman" w:eastAsia="方正仿宋_GBK" w:cs="Times New Roman"/>
          <w:color w:val="auto"/>
          <w:sz w:val="32"/>
          <w:szCs w:val="32"/>
        </w:rPr>
        <w:t>。</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rPr>
        <w:t>三十</w:t>
      </w:r>
      <w:r>
        <w:rPr>
          <w:rFonts w:ascii="方正黑体_GBK" w:hAnsi="方正黑体_GBK" w:eastAsia="方正黑体_GBK" w:cs="方正黑体_GBK"/>
          <w:sz w:val="32"/>
          <w:szCs w:val="32"/>
        </w:rPr>
        <w:t>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征地拆迁农村住房，应当支付搬迁费，用于被搬迁户搬家及生产生活设施迁移</w:t>
      </w:r>
      <w:r>
        <w:rPr>
          <w:rFonts w:ascii="Times New Roman" w:hAnsi="Times New Roman" w:eastAsia="方正仿宋_GBK" w:cs="Times New Roman"/>
          <w:sz w:val="32"/>
          <w:szCs w:val="32"/>
        </w:rPr>
        <w:t>需要的费用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其搬迁费</w:t>
      </w:r>
      <w:r>
        <w:rPr>
          <w:rFonts w:hint="eastAsia" w:ascii="Times New Roman" w:hAnsi="Times New Roman" w:eastAsia="方正仿宋_GBK" w:cs="Times New Roman"/>
          <w:sz w:val="32"/>
          <w:szCs w:val="32"/>
        </w:rPr>
        <w:t>每</w:t>
      </w:r>
      <w:r>
        <w:rPr>
          <w:rFonts w:ascii="Times New Roman" w:hAnsi="Times New Roman" w:eastAsia="方正仿宋_GBK" w:cs="Times New Roman"/>
          <w:sz w:val="32"/>
          <w:szCs w:val="32"/>
        </w:rPr>
        <w:t>户</w:t>
      </w:r>
      <w:r>
        <w:rPr>
          <w:rFonts w:hint="eastAsia" w:ascii="Times New Roman" w:hAnsi="Times New Roman" w:eastAsia="方正仿宋_GBK" w:cs="Times New Roman"/>
          <w:sz w:val="32"/>
          <w:szCs w:val="32"/>
        </w:rPr>
        <w:t>按两次</w:t>
      </w:r>
      <w:r>
        <w:rPr>
          <w:rFonts w:ascii="Times New Roman" w:hAnsi="Times New Roman" w:eastAsia="方正仿宋_GBK" w:cs="Times New Roman"/>
          <w:sz w:val="32"/>
          <w:szCs w:val="32"/>
        </w:rPr>
        <w:t>计算，在签订补偿安置协议时一次性结算。</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农村宅基地自建安置的，按照符合宅基地申请条件的人员计算并一次性支付18个月的临时安置费；安置房安置的，以户为单位，按人口计算并支付自搬迁之月起至安置房交付后6个月止期间的临时安置费；住房货币安置的，以户为单位，按人口计算并一次性支付12个月的临时安置费。</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在规定</w:t>
      </w:r>
      <w:r>
        <w:rPr>
          <w:rFonts w:hint="eastAsia" w:ascii="Times New Roman" w:hAnsi="Times New Roman" w:eastAsia="方正仿宋_GBK" w:cs="Times New Roman"/>
          <w:sz w:val="32"/>
          <w:szCs w:val="32"/>
        </w:rPr>
        <w:t>期</w:t>
      </w:r>
      <w:r>
        <w:rPr>
          <w:rFonts w:ascii="Times New Roman" w:hAnsi="Times New Roman" w:eastAsia="方正仿宋_GBK" w:cs="Times New Roman"/>
          <w:sz w:val="32"/>
          <w:szCs w:val="32"/>
        </w:rPr>
        <w:t>限内签订协议并搬迁交房的</w:t>
      </w:r>
      <w:r>
        <w:rPr>
          <w:rFonts w:hint="eastAsia" w:ascii="Times New Roman" w:hAnsi="Times New Roman" w:eastAsia="方正仿宋_GBK" w:cs="Times New Roman"/>
          <w:sz w:val="32"/>
          <w:szCs w:val="32"/>
        </w:rPr>
        <w:t>，按人计发</w:t>
      </w:r>
      <w:r>
        <w:rPr>
          <w:rFonts w:ascii="Times New Roman" w:hAnsi="Times New Roman" w:eastAsia="方正仿宋_GBK" w:cs="Times New Roman"/>
          <w:sz w:val="32"/>
          <w:szCs w:val="32"/>
        </w:rPr>
        <w:t>提前搬迁奖励</w:t>
      </w:r>
      <w:r>
        <w:rPr>
          <w:rFonts w:hint="eastAsia" w:ascii="Times New Roman" w:hAnsi="Times New Roman" w:eastAsia="方正仿宋_GBK" w:cs="Times New Roman"/>
          <w:sz w:val="32"/>
          <w:szCs w:val="32"/>
        </w:rPr>
        <w:t>；对</w:t>
      </w:r>
      <w:r>
        <w:rPr>
          <w:rFonts w:ascii="Times New Roman" w:hAnsi="Times New Roman" w:eastAsia="方正仿宋_GBK" w:cs="Times New Roman"/>
          <w:sz w:val="32"/>
          <w:szCs w:val="32"/>
        </w:rPr>
        <w:t>持有合法证照且从事生产经营活动的</w:t>
      </w:r>
      <w:r>
        <w:rPr>
          <w:rFonts w:hint="eastAsia" w:ascii="Times New Roman" w:hAnsi="Times New Roman" w:eastAsia="方正仿宋_GBK" w:cs="Times New Roman"/>
          <w:sz w:val="32"/>
          <w:szCs w:val="32"/>
        </w:rPr>
        <w:t>，在规定期限内签订协议并自行搬迁腾退土地，给予提前搬迁奖励。</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住房货币安置</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，在规定时限内签订住房货币安置协议的，按</w:t>
      </w:r>
      <w:r>
        <w:rPr>
          <w:rFonts w:hint="eastAsia" w:ascii="Times New Roman" w:hAnsi="Times New Roman" w:eastAsia="方正仿宋_GBK" w:cs="Times New Roman"/>
          <w:sz w:val="32"/>
          <w:szCs w:val="32"/>
        </w:rPr>
        <w:t>应安置面积</w:t>
      </w:r>
      <w:r>
        <w:rPr>
          <w:rFonts w:ascii="Times New Roman" w:hAnsi="Times New Roman" w:eastAsia="方正仿宋_GBK" w:cs="Times New Roman"/>
          <w:sz w:val="32"/>
          <w:szCs w:val="32"/>
        </w:rPr>
        <w:t>计发住房货币安置奖励</w:t>
      </w:r>
      <w:r>
        <w:rPr>
          <w:rFonts w:hint="eastAsia" w:ascii="Times New Roman" w:hAnsi="Times New Roman" w:eastAsia="方正仿宋_GBK" w:cs="Times New Roman"/>
          <w:sz w:val="32"/>
          <w:szCs w:val="32"/>
        </w:rPr>
        <w:t>。</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搬迁费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临时安置费</w:t>
      </w:r>
      <w:r>
        <w:rPr>
          <w:rFonts w:hint="eastAsia" w:ascii="Times New Roman" w:hAnsi="Times New Roman" w:eastAsia="方正仿宋_GBK" w:cs="Times New Roman"/>
          <w:sz w:val="32"/>
          <w:szCs w:val="32"/>
        </w:rPr>
        <w:t>、提前</w:t>
      </w:r>
      <w:r>
        <w:rPr>
          <w:rFonts w:ascii="Times New Roman" w:hAnsi="Times New Roman" w:eastAsia="方正仿宋_GBK" w:cs="Times New Roman"/>
          <w:sz w:val="32"/>
          <w:szCs w:val="32"/>
        </w:rPr>
        <w:t>搬迁奖励</w:t>
      </w:r>
      <w:r>
        <w:rPr>
          <w:rFonts w:hint="eastAsia" w:ascii="Times New Roman" w:hAnsi="Times New Roman" w:eastAsia="方正仿宋_GBK" w:cs="Times New Roman"/>
          <w:sz w:val="32"/>
          <w:szCs w:val="32"/>
        </w:rPr>
        <w:t>、货币安置奖励</w:t>
      </w:r>
      <w:r>
        <w:rPr>
          <w:rFonts w:ascii="Times New Roman" w:hAnsi="Times New Roman" w:eastAsia="方正仿宋_GBK" w:cs="Times New Roman"/>
          <w:sz w:val="32"/>
          <w:szCs w:val="32"/>
        </w:rPr>
        <w:t>标准</w:t>
      </w:r>
      <w:r>
        <w:rPr>
          <w:rFonts w:hint="eastAsia" w:ascii="Times New Roman" w:hAnsi="Times New Roman" w:eastAsia="方正仿宋_GBK" w:cs="Times New Roman"/>
          <w:sz w:val="32"/>
          <w:szCs w:val="32"/>
        </w:rPr>
        <w:t>详见</w:t>
      </w: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before="581" w:beforeLines="100" w:after="581" w:afterLines="100" w:line="600" w:lineRule="exact"/>
        <w:ind w:left="0" w:leftChars="0" w:right="0" w:rightChars="0" w:firstLine="0" w:firstLineChars="0"/>
        <w:jc w:val="center"/>
        <w:textAlignment w:val="auto"/>
        <w:outlineLvl w:val="9"/>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rPr>
        <w:t>五</w:t>
      </w:r>
      <w:r>
        <w:rPr>
          <w:rFonts w:ascii="方正黑体_GBK" w:hAnsi="方正黑体_GBK" w:eastAsia="方正黑体_GBK" w:cs="方正黑体_GBK"/>
          <w:sz w:val="32"/>
          <w:szCs w:val="32"/>
        </w:rPr>
        <w:t>章</w:t>
      </w:r>
      <w:r>
        <w:rPr>
          <w:rFonts w:hint="eastAsia" w:ascii="方正黑体_GBK" w:hAnsi="方正黑体_GBK" w:eastAsia="方正黑体_GBK" w:cs="方正黑体_GBK"/>
          <w:sz w:val="32"/>
          <w:szCs w:val="32"/>
        </w:rPr>
        <w:t xml:space="preserve">  </w:t>
      </w:r>
      <w:r>
        <w:rPr>
          <w:rFonts w:ascii="方正黑体_GBK" w:hAnsi="方正黑体_GBK" w:eastAsia="方正黑体_GBK" w:cs="方正黑体_GBK"/>
          <w:sz w:val="32"/>
          <w:szCs w:val="32"/>
        </w:rPr>
        <w:t>附则</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rPr>
        <w:t>三十一</w:t>
      </w:r>
      <w:r>
        <w:rPr>
          <w:rFonts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rPr>
        <w:t xml:space="preserve">  </w:t>
      </w:r>
      <w:r>
        <w:rPr>
          <w:rFonts w:hint="eastAsia" w:ascii="Times New Roman" w:hAnsi="Times New Roman" w:eastAsia="方正仿宋_GBK" w:cs="Times New Roman"/>
          <w:sz w:val="32"/>
          <w:szCs w:val="32"/>
        </w:rPr>
        <w:t>本办法</w:t>
      </w:r>
      <w:r>
        <w:rPr>
          <w:rFonts w:hint="eastAsia" w:cs="Times New Roman"/>
          <w:sz w:val="32"/>
          <w:szCs w:val="32"/>
          <w:lang w:eastAsia="zh-CN"/>
        </w:rPr>
        <w:t>第十三条、第二十四条</w:t>
      </w:r>
      <w:r>
        <w:rPr>
          <w:rFonts w:ascii="Times New Roman" w:hAnsi="Times New Roman" w:eastAsia="方正仿宋_GBK" w:cs="Times New Roman"/>
          <w:sz w:val="32"/>
          <w:szCs w:val="32"/>
        </w:rPr>
        <w:t>所称“长期”，</w:t>
      </w:r>
      <w:r>
        <w:rPr>
          <w:rFonts w:hint="eastAsia" w:ascii="Times New Roman" w:hAnsi="Times New Roman" w:eastAsia="方正仿宋_GBK" w:cs="方正仿宋_GBK"/>
          <w:sz w:val="32"/>
          <w:szCs w:val="32"/>
        </w:rPr>
        <w:t>是指区人民政府发布征收土地预公告之日，在被征地农村集体经济组织连续生产生活、居住</w:t>
      </w: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年以上。其中，离婚后再婚配偶及随迁子女在被征地农村集体经济组织连续生产生活、居住</w:t>
      </w: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年以上。</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rPr>
        <w:t>三十二</w:t>
      </w:r>
      <w:r>
        <w:rPr>
          <w:rFonts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rPr>
        <w:t xml:space="preserve">  </w:t>
      </w:r>
      <w:r>
        <w:rPr>
          <w:rFonts w:ascii="Times New Roman" w:hAnsi="Times New Roman" w:eastAsia="方正仿宋_GBK" w:cs="Times New Roman"/>
          <w:sz w:val="32"/>
          <w:szCs w:val="32"/>
        </w:rPr>
        <w:t>无民事行为能力人或者限制民事行为能力人，获得的</w:t>
      </w:r>
      <w:r>
        <w:rPr>
          <w:rFonts w:hint="eastAsia" w:ascii="Times New Roman" w:hAnsi="Times New Roman" w:eastAsia="方正仿宋_GBK" w:cs="Times New Roman"/>
          <w:sz w:val="32"/>
          <w:szCs w:val="32"/>
        </w:rPr>
        <w:t>征地</w:t>
      </w:r>
      <w:r>
        <w:rPr>
          <w:rFonts w:ascii="Times New Roman" w:hAnsi="Times New Roman" w:eastAsia="方正仿宋_GBK" w:cs="Times New Roman"/>
          <w:sz w:val="32"/>
          <w:szCs w:val="32"/>
        </w:rPr>
        <w:t>补偿安置费用，按照有关规定一次性支付给其法定监护人。</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rPr>
        <w:t>三</w:t>
      </w:r>
      <w:r>
        <w:rPr>
          <w:rFonts w:ascii="方正黑体_GBK" w:hAnsi="方正黑体_GBK" w:eastAsia="方正黑体_GBK" w:cs="方正黑体_GBK"/>
          <w:sz w:val="32"/>
          <w:szCs w:val="32"/>
        </w:rPr>
        <w:t>条</w:t>
      </w:r>
      <w:r>
        <w:rPr>
          <w:rFonts w:ascii="Times New Roman" w:hAnsi="Times New Roman" w:eastAsia="方正仿宋_GBK" w:cs="Times New Roman"/>
          <w:sz w:val="32"/>
          <w:szCs w:val="32"/>
        </w:rPr>
        <w:t xml:space="preserve">  按照本办</w:t>
      </w:r>
      <w:r>
        <w:rPr>
          <w:rFonts w:hint="eastAsia" w:ascii="Times New Roman" w:hAnsi="Times New Roman" w:eastAsia="方正仿宋_GBK" w:cs="Times New Roman"/>
          <w:sz w:val="32"/>
          <w:szCs w:val="32"/>
        </w:rPr>
        <w:t>法规定，需要评估机构进行评估的，评估机构由所有权人和</w:t>
      </w:r>
      <w:r>
        <w:rPr>
          <w:rFonts w:hint="eastAsia" w:ascii="Times New Roman" w:hAnsi="Times New Roman" w:eastAsia="方正仿宋_GBK" w:cs="Times New Roman"/>
          <w:sz w:val="32"/>
          <w:szCs w:val="32"/>
          <w:lang w:eastAsia="zh-CN"/>
        </w:rPr>
        <w:t>区土地和房屋征收部门</w:t>
      </w:r>
      <w:r>
        <w:rPr>
          <w:rFonts w:hint="eastAsia" w:ascii="Times New Roman" w:hAnsi="Times New Roman" w:eastAsia="方正仿宋_GBK" w:cs="Times New Roman"/>
          <w:sz w:val="32"/>
          <w:szCs w:val="32"/>
        </w:rPr>
        <w:t>在相关部门公布的评估机构推荐名单内协商选定；无正当理由，被评估对象的所有权人不选择的，由</w:t>
      </w:r>
      <w:r>
        <w:rPr>
          <w:rFonts w:hint="eastAsia" w:ascii="Times New Roman" w:hAnsi="Times New Roman" w:eastAsia="方正仿宋_GBK" w:cs="Times New Roman"/>
          <w:sz w:val="32"/>
          <w:szCs w:val="32"/>
          <w:lang w:eastAsia="zh-CN"/>
        </w:rPr>
        <w:t>区土地和房屋征收部门</w:t>
      </w:r>
      <w:r>
        <w:rPr>
          <w:rFonts w:hint="eastAsia" w:ascii="Times New Roman" w:hAnsi="Times New Roman" w:eastAsia="方正仿宋_GBK" w:cs="Times New Roman"/>
          <w:sz w:val="32"/>
          <w:szCs w:val="32"/>
        </w:rPr>
        <w:t>会同乡镇（街道）在相关部门公布的评估机构推荐名单内随机选定。被评估对象的所有权人对评估有异议的，其处理参照相关规定执行。</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rPr>
        <w:t>四</w:t>
      </w:r>
      <w:r>
        <w:rPr>
          <w:rFonts w:ascii="方正黑体_GBK" w:hAnsi="方正黑体_GBK" w:eastAsia="方正黑体_GBK" w:cs="方正黑体_GBK"/>
          <w:sz w:val="32"/>
          <w:szCs w:val="32"/>
        </w:rPr>
        <w:t>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kern w:val="0"/>
          <w:sz w:val="32"/>
          <w:szCs w:val="32"/>
        </w:rPr>
        <w:t>国家和本市对大中型水利水电工程建设征地补偿和移民安置另有规定的，从其规定。</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kern w:val="0"/>
          <w:sz w:val="32"/>
          <w:szCs w:val="32"/>
        </w:rPr>
      </w:pPr>
      <w:r>
        <w:rPr>
          <w:rFonts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rPr>
        <w:t>五</w:t>
      </w:r>
      <w:r>
        <w:rPr>
          <w:rFonts w:ascii="方正黑体_GBK" w:hAnsi="方正黑体_GBK" w:eastAsia="方正黑体_GBK" w:cs="方正黑体_GBK"/>
          <w:sz w:val="32"/>
          <w:szCs w:val="32"/>
        </w:rPr>
        <w:t>条</w:t>
      </w:r>
      <w:r>
        <w:rPr>
          <w:rFonts w:ascii="Times New Roman" w:hAnsi="Times New Roman" w:eastAsia="方正仿宋_GBK" w:cs="Times New Roman"/>
          <w:sz w:val="32"/>
          <w:szCs w:val="32"/>
        </w:rPr>
        <w:t xml:space="preserve">  本办法自</w:t>
      </w:r>
      <w:r>
        <w:rPr>
          <w:rFonts w:hint="eastAsia" w:ascii="Times New Roman" w:hAnsi="Times New Roman" w:eastAsia="方正仿宋_GBK" w:cs="Times New Roman"/>
          <w:sz w:val="32"/>
          <w:szCs w:val="32"/>
        </w:rPr>
        <w:t>2021年7月1</w:t>
      </w:r>
      <w:r>
        <w:rPr>
          <w:rFonts w:ascii="Times New Roman" w:hAnsi="Times New Roman" w:eastAsia="方正仿宋_GBK" w:cs="Times New Roman"/>
          <w:sz w:val="32"/>
          <w:szCs w:val="32"/>
        </w:rPr>
        <w:t>日起施行。</w:t>
      </w:r>
      <w:r>
        <w:rPr>
          <w:rFonts w:ascii="Times New Roman" w:hAnsi="Times New Roman" w:eastAsia="方正仿宋_GBK" w:cs="Times New Roman"/>
          <w:kern w:val="0"/>
          <w:sz w:val="32"/>
          <w:szCs w:val="32"/>
        </w:rPr>
        <w:t>原《重庆市南川区人民政府关于调整征地补偿安置政策有关事项的通知》（南川府发〔2008〕93号）《重庆市南川区人民政府关于调整征地补偿安置政策有关事项的通知》（南川府发〔2013〕43号）和《重庆市南川区人民政府办公室关于印发南川区集体土地上房屋拆迁补偿安置实施办法的通知》（南川府办发〔2016〕125号）同时废止。</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本办法施行前已经</w:t>
      </w:r>
      <w:r>
        <w:rPr>
          <w:rFonts w:hint="eastAsia" w:ascii="Times New Roman" w:hAnsi="Times New Roman" w:eastAsia="方正仿宋_GBK" w:cs="Times New Roman"/>
          <w:sz w:val="32"/>
          <w:szCs w:val="32"/>
        </w:rPr>
        <w:t>确定</w:t>
      </w:r>
      <w:r>
        <w:rPr>
          <w:rFonts w:ascii="Times New Roman" w:hAnsi="Times New Roman" w:eastAsia="方正仿宋_GBK" w:cs="Times New Roman"/>
          <w:sz w:val="32"/>
          <w:szCs w:val="32"/>
        </w:rPr>
        <w:t>征地补偿安置方案的项目，按照原政策执行。</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kern w:val="0"/>
          <w:sz w:val="32"/>
          <w:szCs w:val="32"/>
        </w:rPr>
      </w:pP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附件：1.南川区区片综合地价</w:t>
      </w:r>
      <w:r>
        <w:rPr>
          <w:rFonts w:ascii="Times New Roman" w:hAnsi="Times New Roman" w:eastAsia="方正仿宋_GBK" w:cs="Times New Roman"/>
          <w:kern w:val="0"/>
          <w:sz w:val="32"/>
          <w:szCs w:val="32"/>
        </w:rPr>
        <w:t>标准</w:t>
      </w:r>
    </w:p>
    <w:p>
      <w:pPr>
        <w:keepNext w:val="0"/>
        <w:keepLines w:val="0"/>
        <w:pageBreakBefore w:val="0"/>
        <w:kinsoku/>
        <w:wordWrap/>
        <w:overflowPunct/>
        <w:topLinePunct w:val="0"/>
        <w:bidi w:val="0"/>
        <w:spacing w:line="600" w:lineRule="exact"/>
        <w:ind w:firstLine="1600" w:firstLineChars="5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w:t>
      </w:r>
      <w:r>
        <w:rPr>
          <w:rFonts w:ascii="Times New Roman" w:hAnsi="Times New Roman" w:eastAsia="方正仿宋_GBK" w:cs="Times New Roman"/>
          <w:kern w:val="0"/>
          <w:sz w:val="32"/>
          <w:szCs w:val="32"/>
        </w:rPr>
        <w:t>南川区集体土地上房屋拆迁</w:t>
      </w:r>
      <w:r>
        <w:rPr>
          <w:rFonts w:hint="eastAsia" w:ascii="Times New Roman" w:hAnsi="Times New Roman" w:eastAsia="方正仿宋_GBK" w:cs="Times New Roman"/>
          <w:kern w:val="0"/>
          <w:sz w:val="32"/>
          <w:szCs w:val="32"/>
        </w:rPr>
        <w:t>重置价格</w:t>
      </w:r>
      <w:r>
        <w:rPr>
          <w:rFonts w:ascii="Times New Roman" w:hAnsi="Times New Roman" w:eastAsia="方正仿宋_GBK" w:cs="Times New Roman"/>
          <w:kern w:val="0"/>
          <w:sz w:val="32"/>
          <w:szCs w:val="32"/>
        </w:rPr>
        <w:t>补偿标准</w:t>
      </w:r>
    </w:p>
    <w:p>
      <w:pPr>
        <w:keepNext w:val="0"/>
        <w:keepLines w:val="0"/>
        <w:pageBreakBefore w:val="0"/>
        <w:kinsoku/>
        <w:wordWrap/>
        <w:overflowPunct/>
        <w:topLinePunct w:val="0"/>
        <w:bidi w:val="0"/>
        <w:spacing w:line="600" w:lineRule="exact"/>
        <w:ind w:firstLine="1600" w:firstLineChars="5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3.</w:t>
      </w:r>
      <w:r>
        <w:rPr>
          <w:rFonts w:ascii="Times New Roman" w:hAnsi="Times New Roman" w:eastAsia="方正仿宋_GBK" w:cs="Times New Roman"/>
          <w:kern w:val="0"/>
          <w:sz w:val="32"/>
          <w:szCs w:val="32"/>
        </w:rPr>
        <w:t>南川区征收集体土地上零星林木补偿标准</w:t>
      </w:r>
    </w:p>
    <w:p>
      <w:pPr>
        <w:keepNext w:val="0"/>
        <w:keepLines w:val="0"/>
        <w:pageBreakBefore w:val="0"/>
        <w:kinsoku/>
        <w:wordWrap/>
        <w:overflowPunct/>
        <w:topLinePunct w:val="0"/>
        <w:bidi w:val="0"/>
        <w:spacing w:line="600" w:lineRule="exact"/>
        <w:ind w:firstLine="1600" w:firstLineChars="5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4.</w:t>
      </w:r>
      <w:r>
        <w:rPr>
          <w:rFonts w:ascii="Times New Roman" w:hAnsi="Times New Roman" w:eastAsia="方正仿宋_GBK" w:cs="Times New Roman"/>
          <w:kern w:val="0"/>
          <w:sz w:val="32"/>
          <w:szCs w:val="32"/>
        </w:rPr>
        <w:t>南川区征收集体土地地上构（附）着物补偿标准</w:t>
      </w:r>
    </w:p>
    <w:p>
      <w:pPr>
        <w:keepNext w:val="0"/>
        <w:keepLines w:val="0"/>
        <w:pageBreakBefore w:val="0"/>
        <w:kinsoku/>
        <w:wordWrap/>
        <w:overflowPunct/>
        <w:topLinePunct w:val="0"/>
        <w:bidi w:val="0"/>
        <w:spacing w:line="600" w:lineRule="exact"/>
        <w:ind w:firstLine="1600" w:firstLineChars="5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南川区集体土地上房屋拆迁附属设施补偿标准</w:t>
      </w:r>
    </w:p>
    <w:p>
      <w:pPr>
        <w:keepNext w:val="0"/>
        <w:keepLines w:val="0"/>
        <w:pageBreakBefore w:val="0"/>
        <w:kinsoku/>
        <w:wordWrap/>
        <w:overflowPunct/>
        <w:topLinePunct w:val="0"/>
        <w:bidi w:val="0"/>
        <w:spacing w:line="600" w:lineRule="exact"/>
        <w:ind w:firstLine="1600" w:firstLineChars="500"/>
        <w:textAlignment w:val="auto"/>
        <w:rPr>
          <w:rFonts w:ascii="Times New Roman" w:hAnsi="Times New Roman" w:eastAsia="方正仿宋_GBK" w:cs="Times New Roman"/>
          <w:w w:val="90"/>
          <w:kern w:val="0"/>
          <w:sz w:val="32"/>
          <w:szCs w:val="32"/>
        </w:rPr>
      </w:pPr>
      <w:r>
        <w:rPr>
          <w:rFonts w:hint="eastAsia" w:ascii="Times New Roman" w:hAnsi="Times New Roman" w:eastAsia="方正仿宋_GBK" w:cs="Times New Roman"/>
          <w:kern w:val="0"/>
          <w:sz w:val="32"/>
          <w:szCs w:val="32"/>
        </w:rPr>
        <w:t>6.</w:t>
      </w:r>
      <w:r>
        <w:rPr>
          <w:rFonts w:ascii="Times New Roman" w:hAnsi="Times New Roman" w:eastAsia="方正仿宋_GBK" w:cs="Times New Roman"/>
          <w:w w:val="95"/>
          <w:kern w:val="0"/>
          <w:sz w:val="32"/>
          <w:szCs w:val="32"/>
        </w:rPr>
        <w:t>南川区集体土地上房屋拆迁搬迁补助及奖励费额标准</w:t>
      </w:r>
    </w:p>
    <w:p>
      <w:pPr>
        <w:keepNext w:val="0"/>
        <w:keepLines w:val="0"/>
        <w:pageBreakBefore w:val="0"/>
        <w:kinsoku/>
        <w:wordWrap/>
        <w:overflowPunct/>
        <w:topLinePunct w:val="0"/>
        <w:bidi w:val="0"/>
        <w:spacing w:line="600" w:lineRule="exact"/>
        <w:ind w:firstLine="1600" w:firstLineChars="500"/>
        <w:textAlignment w:val="auto"/>
        <w:rPr>
          <w:rFonts w:ascii="Times New Roman" w:hAnsi="Times New Roman" w:eastAsia="方正仿宋_GBK" w:cs="Times New Roman"/>
          <w:w w:val="95"/>
          <w:kern w:val="0"/>
          <w:sz w:val="32"/>
          <w:szCs w:val="32"/>
        </w:rPr>
      </w:pPr>
      <w:r>
        <w:rPr>
          <w:rFonts w:hint="eastAsia" w:ascii="Times New Roman" w:hAnsi="Times New Roman" w:eastAsia="方正仿宋_GBK" w:cs="Times New Roman"/>
          <w:kern w:val="0"/>
          <w:sz w:val="32"/>
          <w:szCs w:val="32"/>
        </w:rPr>
        <w:t>7.</w:t>
      </w:r>
      <w:r>
        <w:rPr>
          <w:rFonts w:ascii="Times New Roman" w:hAnsi="Times New Roman" w:eastAsia="方正仿宋_GBK" w:cs="Times New Roman"/>
          <w:w w:val="95"/>
          <w:kern w:val="0"/>
          <w:sz w:val="32"/>
          <w:szCs w:val="32"/>
        </w:rPr>
        <w:t>南川区畜禽</w:t>
      </w:r>
      <w:r>
        <w:rPr>
          <w:rFonts w:hint="eastAsia" w:ascii="Times New Roman" w:hAnsi="Times New Roman" w:eastAsia="方正仿宋_GBK" w:cs="Times New Roman"/>
          <w:w w:val="95"/>
          <w:kern w:val="0"/>
          <w:sz w:val="32"/>
          <w:szCs w:val="32"/>
        </w:rPr>
        <w:t>水产</w:t>
      </w:r>
      <w:r>
        <w:rPr>
          <w:rFonts w:ascii="Times New Roman" w:hAnsi="Times New Roman" w:eastAsia="方正仿宋_GBK" w:cs="Times New Roman"/>
          <w:w w:val="95"/>
          <w:kern w:val="0"/>
          <w:sz w:val="32"/>
          <w:szCs w:val="32"/>
        </w:rPr>
        <w:t>养殖专业户</w:t>
      </w:r>
      <w:r>
        <w:rPr>
          <w:rFonts w:hint="eastAsia" w:ascii="Times New Roman" w:hAnsi="Times New Roman" w:eastAsia="方正仿宋_GBK" w:cs="Times New Roman"/>
          <w:w w:val="95"/>
          <w:kern w:val="0"/>
          <w:sz w:val="32"/>
          <w:szCs w:val="32"/>
        </w:rPr>
        <w:t>一次性</w:t>
      </w:r>
      <w:r>
        <w:rPr>
          <w:rFonts w:ascii="Times New Roman" w:hAnsi="Times New Roman" w:eastAsia="方正仿宋_GBK" w:cs="Times New Roman"/>
          <w:w w:val="95"/>
          <w:kern w:val="0"/>
          <w:sz w:val="32"/>
          <w:szCs w:val="32"/>
        </w:rPr>
        <w:t>搬迁补助</w:t>
      </w:r>
      <w:r>
        <w:rPr>
          <w:rFonts w:hint="eastAsia" w:ascii="Times New Roman" w:hAnsi="Times New Roman" w:eastAsia="方正仿宋_GBK" w:cs="Times New Roman"/>
          <w:w w:val="95"/>
          <w:kern w:val="0"/>
          <w:sz w:val="32"/>
          <w:szCs w:val="32"/>
        </w:rPr>
        <w:t>费</w:t>
      </w:r>
      <w:r>
        <w:rPr>
          <w:rFonts w:ascii="Times New Roman" w:hAnsi="Times New Roman" w:eastAsia="方正仿宋_GBK" w:cs="Times New Roman"/>
          <w:w w:val="95"/>
          <w:kern w:val="0"/>
          <w:sz w:val="32"/>
          <w:szCs w:val="32"/>
        </w:rPr>
        <w:t>标准</w:t>
      </w:r>
    </w:p>
    <w:p>
      <w:pPr>
        <w:rPr>
          <w:rFonts w:ascii="Times New Roman" w:hAnsi="Times New Roman" w:eastAsia="方正仿宋_GBK" w:cs="Times New Roman"/>
          <w:w w:val="95"/>
          <w:kern w:val="0"/>
          <w:sz w:val="32"/>
          <w:szCs w:val="32"/>
        </w:rPr>
      </w:pPr>
    </w:p>
    <w:p>
      <w:pPr>
        <w:rPr>
          <w:rFonts w:ascii="Times New Roman" w:hAnsi="Times New Roman" w:eastAsia="方正仿宋_GBK" w:cs="Times New Roman"/>
          <w:w w:val="95"/>
          <w:kern w:val="0"/>
          <w:sz w:val="32"/>
          <w:szCs w:val="32"/>
        </w:rPr>
      </w:pPr>
    </w:p>
    <w:p>
      <w:pPr>
        <w:rPr>
          <w:rFonts w:ascii="Times New Roman" w:hAnsi="Times New Roman" w:eastAsia="方正仿宋_GBK" w:cs="Times New Roman"/>
          <w:w w:val="95"/>
          <w:kern w:val="0"/>
          <w:sz w:val="32"/>
          <w:szCs w:val="32"/>
        </w:rPr>
      </w:pPr>
    </w:p>
    <w:p>
      <w:pPr>
        <w:rPr>
          <w:rFonts w:ascii="Times New Roman" w:hAnsi="Times New Roman" w:eastAsia="方正仿宋_GBK" w:cs="Times New Roman"/>
          <w:w w:val="95"/>
          <w:kern w:val="0"/>
          <w:sz w:val="32"/>
          <w:szCs w:val="32"/>
        </w:rPr>
      </w:pPr>
    </w:p>
    <w:p>
      <w:pPr>
        <w:rPr>
          <w:rFonts w:ascii="Times New Roman" w:hAnsi="Times New Roman" w:eastAsia="方正仿宋_GBK" w:cs="Times New Roman"/>
          <w:w w:val="95"/>
          <w:kern w:val="0"/>
          <w:sz w:val="32"/>
          <w:szCs w:val="32"/>
        </w:rPr>
      </w:pPr>
    </w:p>
    <w:p>
      <w:pPr>
        <w:rPr>
          <w:rFonts w:ascii="Times New Roman" w:hAnsi="Times New Roman" w:eastAsia="方正仿宋_GBK" w:cs="Times New Roman"/>
          <w:w w:val="95"/>
          <w:kern w:val="0"/>
          <w:sz w:val="32"/>
          <w:szCs w:val="32"/>
        </w:rPr>
      </w:pPr>
    </w:p>
    <w:p>
      <w:pPr>
        <w:rPr>
          <w:rFonts w:ascii="Times New Roman" w:hAnsi="Times New Roman" w:eastAsia="方正仿宋_GBK" w:cs="Times New Roman"/>
          <w:w w:val="95"/>
          <w:kern w:val="0"/>
          <w:sz w:val="32"/>
          <w:szCs w:val="32"/>
        </w:rPr>
      </w:pPr>
    </w:p>
    <w:p>
      <w:pPr>
        <w:rPr>
          <w:rFonts w:ascii="Times New Roman" w:hAnsi="Times New Roman" w:eastAsia="方正仿宋_GBK" w:cs="Times New Roman"/>
          <w:w w:val="95"/>
          <w:kern w:val="0"/>
          <w:sz w:val="32"/>
          <w:szCs w:val="32"/>
        </w:rPr>
      </w:pPr>
    </w:p>
    <w:p>
      <w:pPr>
        <w:rPr>
          <w:rFonts w:ascii="Times New Roman" w:hAnsi="Times New Roman" w:eastAsia="方正仿宋_GBK" w:cs="Times New Roman"/>
          <w:w w:val="95"/>
          <w:kern w:val="0"/>
          <w:sz w:val="32"/>
          <w:szCs w:val="32"/>
        </w:rPr>
      </w:pPr>
    </w:p>
    <w:p>
      <w:pPr>
        <w:rPr>
          <w:rFonts w:ascii="Times New Roman" w:hAnsi="Times New Roman" w:eastAsia="方正仿宋_GBK" w:cs="Times New Roman"/>
          <w:w w:val="95"/>
          <w:kern w:val="0"/>
          <w:sz w:val="32"/>
          <w:szCs w:val="32"/>
        </w:rPr>
      </w:pPr>
    </w:p>
    <w:p>
      <w:pPr>
        <w:rPr>
          <w:rFonts w:ascii="Times New Roman" w:hAnsi="Times New Roman" w:eastAsia="方正仿宋_GBK" w:cs="Times New Roman"/>
          <w:w w:val="95"/>
          <w:kern w:val="0"/>
          <w:sz w:val="32"/>
          <w:szCs w:val="32"/>
        </w:rPr>
      </w:pPr>
    </w:p>
    <w:p>
      <w:pPr>
        <w:rPr>
          <w:rFonts w:ascii="Times New Roman" w:hAnsi="Times New Roman" w:eastAsia="方正仿宋_GBK" w:cs="Times New Roman"/>
          <w:w w:val="95"/>
          <w:kern w:val="0"/>
          <w:sz w:val="32"/>
          <w:szCs w:val="32"/>
        </w:rPr>
      </w:pPr>
    </w:p>
    <w:p>
      <w:pPr>
        <w:rPr>
          <w:rFonts w:ascii="Times New Roman" w:hAnsi="Times New Roman" w:eastAsia="方正仿宋_GBK" w:cs="Times New Roman"/>
          <w:w w:val="95"/>
          <w:kern w:val="0"/>
          <w:sz w:val="32"/>
          <w:szCs w:val="32"/>
        </w:rPr>
      </w:pPr>
    </w:p>
    <w:p>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widowControl/>
        <w:spacing w:line="560" w:lineRule="exact"/>
        <w:jc w:val="center"/>
        <w:rPr>
          <w:rFonts w:eastAsia="方正小标宋_GBK"/>
          <w:color w:val="000000"/>
          <w:sz w:val="44"/>
          <w:szCs w:val="44"/>
        </w:rPr>
      </w:pPr>
      <w:r>
        <w:rPr>
          <w:rFonts w:hint="eastAsia" w:ascii="Arial" w:hAnsi="Arial" w:eastAsia="方正小标宋_GBK" w:cs="Arial"/>
          <w:color w:val="000000"/>
          <w:sz w:val="44"/>
          <w:szCs w:val="44"/>
        </w:rPr>
        <w:t>南川区</w:t>
      </w:r>
      <w:r>
        <w:rPr>
          <w:rFonts w:hint="eastAsia" w:eastAsia="方正小标宋_GBK"/>
          <w:color w:val="000000"/>
          <w:sz w:val="44"/>
          <w:szCs w:val="44"/>
        </w:rPr>
        <w:t>区片综合地价</w:t>
      </w:r>
      <w:r>
        <w:rPr>
          <w:rFonts w:eastAsia="方正小标宋_GBK"/>
          <w:color w:val="000000"/>
          <w:sz w:val="44"/>
          <w:szCs w:val="44"/>
        </w:rPr>
        <w:t>标准</w:t>
      </w:r>
    </w:p>
    <w:p>
      <w:pPr>
        <w:widowControl/>
        <w:spacing w:line="360" w:lineRule="exact"/>
        <w:jc w:val="center"/>
        <w:rPr>
          <w:rFonts w:hint="eastAsia" w:ascii="方正仿宋_GBK" w:eastAsia="方正仿宋_GBK"/>
          <w:color w:val="000000"/>
          <w:sz w:val="28"/>
          <w:szCs w:val="28"/>
          <w:lang w:val="en-US" w:eastAsia="zh-CN"/>
        </w:rPr>
      </w:pPr>
    </w:p>
    <w:p>
      <w:pPr>
        <w:widowControl/>
        <w:spacing w:line="360" w:lineRule="exact"/>
        <w:jc w:val="center"/>
        <w:rPr>
          <w:rFonts w:eastAsia="方正小标宋_GBK"/>
          <w:color w:val="000000"/>
          <w:sz w:val="44"/>
          <w:szCs w:val="44"/>
        </w:rPr>
      </w:pPr>
      <w:r>
        <w:rPr>
          <w:rFonts w:hint="eastAsia" w:ascii="方正仿宋_GBK" w:eastAsia="方正仿宋_GBK"/>
          <w:color w:val="000000"/>
          <w:sz w:val="28"/>
          <w:szCs w:val="28"/>
          <w:lang w:val="en-US" w:eastAsia="zh-CN"/>
        </w:rPr>
        <w:t xml:space="preserve">                                                 </w:t>
      </w:r>
      <w:r>
        <w:rPr>
          <w:rFonts w:hint="eastAsia" w:ascii="方正仿宋_GBK" w:eastAsia="方正仿宋_GBK"/>
          <w:color w:val="000000"/>
          <w:sz w:val="28"/>
          <w:szCs w:val="28"/>
        </w:rPr>
        <w:t>单位：万元/亩</w:t>
      </w:r>
    </w:p>
    <w:tbl>
      <w:tblPr>
        <w:tblStyle w:val="10"/>
        <w:tblW w:w="8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695"/>
        <w:gridCol w:w="6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2" w:type="dxa"/>
            <w:vMerge w:val="restart"/>
            <w:vAlign w:val="center"/>
          </w:tcPr>
          <w:p>
            <w:pPr>
              <w:keepNext w:val="0"/>
              <w:keepLines w:val="0"/>
              <w:pageBreakBefore w:val="0"/>
              <w:widowControl/>
              <w:kinsoku/>
              <w:wordWrap/>
              <w:overflowPunct/>
              <w:topLinePunct w:val="0"/>
              <w:autoSpaceDE/>
              <w:autoSpaceDN/>
              <w:bidi w:val="0"/>
              <w:adjustRightInd/>
              <w:snapToGrid w:val="0"/>
              <w:spacing w:line="420" w:lineRule="exact"/>
              <w:ind w:left="0" w:leftChars="0" w:right="0" w:rightChars="0" w:firstLine="0" w:firstLineChars="0"/>
              <w:jc w:val="center"/>
              <w:textAlignment w:val="center"/>
              <w:outlineLvl w:val="9"/>
              <w:rPr>
                <w:rFonts w:ascii="Times New Roman" w:hAnsi="Times New Roman" w:eastAsia="方正黑体_GBK" w:cs="Times New Roman"/>
                <w:color w:val="000000"/>
                <w:kern w:val="0"/>
                <w:sz w:val="28"/>
                <w:szCs w:val="28"/>
              </w:rPr>
            </w:pPr>
            <w:r>
              <w:rPr>
                <w:rFonts w:hint="eastAsia" w:ascii="Times New Roman" w:hAnsi="Times New Roman" w:eastAsia="方正黑体_GBK" w:cs="Times New Roman"/>
                <w:color w:val="000000"/>
                <w:kern w:val="0"/>
                <w:sz w:val="28"/>
                <w:szCs w:val="28"/>
              </w:rPr>
              <w:t>区片</w:t>
            </w:r>
          </w:p>
        </w:tc>
        <w:tc>
          <w:tcPr>
            <w:tcW w:w="1695" w:type="dxa"/>
            <w:vMerge w:val="restart"/>
            <w:vAlign w:val="center"/>
          </w:tcPr>
          <w:p>
            <w:pPr>
              <w:keepNext w:val="0"/>
              <w:keepLines w:val="0"/>
              <w:pageBreakBefore w:val="0"/>
              <w:widowControl/>
              <w:kinsoku/>
              <w:wordWrap/>
              <w:overflowPunct/>
              <w:topLinePunct w:val="0"/>
              <w:autoSpaceDE/>
              <w:autoSpaceDN/>
              <w:bidi w:val="0"/>
              <w:adjustRightInd/>
              <w:snapToGrid w:val="0"/>
              <w:spacing w:line="420" w:lineRule="exact"/>
              <w:ind w:left="0" w:leftChars="0" w:right="0" w:rightChars="0" w:firstLine="0" w:firstLineChars="0"/>
              <w:jc w:val="center"/>
              <w:textAlignment w:val="center"/>
              <w:outlineLvl w:val="9"/>
              <w:rPr>
                <w:rFonts w:hint="eastAsia" w:ascii="Times New Roman" w:hAnsi="Times New Roman" w:eastAsia="方正黑体_GBK" w:cs="Times New Roman"/>
                <w:color w:val="000000"/>
                <w:kern w:val="0"/>
                <w:sz w:val="28"/>
                <w:szCs w:val="28"/>
              </w:rPr>
            </w:pPr>
            <w:r>
              <w:rPr>
                <w:rFonts w:hint="eastAsia" w:ascii="Times New Roman" w:hAnsi="Times New Roman" w:eastAsia="方正黑体_GBK" w:cs="Times New Roman"/>
                <w:color w:val="000000"/>
                <w:kern w:val="0"/>
                <w:sz w:val="28"/>
                <w:szCs w:val="28"/>
              </w:rPr>
              <w:t>综合</w:t>
            </w:r>
          </w:p>
          <w:p>
            <w:pPr>
              <w:keepNext w:val="0"/>
              <w:keepLines w:val="0"/>
              <w:pageBreakBefore w:val="0"/>
              <w:widowControl/>
              <w:kinsoku/>
              <w:wordWrap/>
              <w:overflowPunct/>
              <w:topLinePunct w:val="0"/>
              <w:autoSpaceDE/>
              <w:autoSpaceDN/>
              <w:bidi w:val="0"/>
              <w:adjustRightInd/>
              <w:snapToGrid w:val="0"/>
              <w:spacing w:line="420" w:lineRule="exact"/>
              <w:ind w:left="0" w:leftChars="0" w:right="0" w:rightChars="0" w:firstLine="0" w:firstLineChars="0"/>
              <w:jc w:val="center"/>
              <w:textAlignment w:val="center"/>
              <w:outlineLvl w:val="9"/>
              <w:rPr>
                <w:rFonts w:ascii="Times New Roman" w:hAnsi="Times New Roman" w:eastAsia="方正黑体_GBK" w:cs="Times New Roman"/>
                <w:color w:val="000000"/>
                <w:kern w:val="0"/>
                <w:sz w:val="28"/>
                <w:szCs w:val="28"/>
              </w:rPr>
            </w:pPr>
            <w:r>
              <w:rPr>
                <w:rFonts w:hint="eastAsia" w:ascii="Times New Roman" w:hAnsi="Times New Roman" w:eastAsia="方正黑体_GBK" w:cs="Times New Roman"/>
                <w:color w:val="000000"/>
                <w:kern w:val="0"/>
                <w:sz w:val="28"/>
                <w:szCs w:val="28"/>
              </w:rPr>
              <w:t>地价标准</w:t>
            </w:r>
          </w:p>
        </w:tc>
        <w:tc>
          <w:tcPr>
            <w:tcW w:w="6407" w:type="dxa"/>
            <w:vMerge w:val="restart"/>
            <w:vAlign w:val="center"/>
          </w:tcPr>
          <w:p>
            <w:pPr>
              <w:keepNext w:val="0"/>
              <w:keepLines w:val="0"/>
              <w:pageBreakBefore w:val="0"/>
              <w:widowControl/>
              <w:kinsoku/>
              <w:wordWrap/>
              <w:overflowPunct/>
              <w:topLinePunct w:val="0"/>
              <w:autoSpaceDE/>
              <w:autoSpaceDN/>
              <w:bidi w:val="0"/>
              <w:adjustRightInd/>
              <w:snapToGrid w:val="0"/>
              <w:spacing w:line="420" w:lineRule="exact"/>
              <w:ind w:left="0" w:leftChars="0" w:right="0" w:rightChars="0" w:firstLine="0" w:firstLineChars="0"/>
              <w:jc w:val="center"/>
              <w:textAlignment w:val="center"/>
              <w:outlineLvl w:val="9"/>
              <w:rPr>
                <w:rFonts w:ascii="Times New Roman" w:hAnsi="Times New Roman" w:eastAsia="方正黑体_GBK" w:cs="Times New Roman"/>
                <w:color w:val="000000"/>
                <w:kern w:val="0"/>
                <w:sz w:val="28"/>
                <w:szCs w:val="28"/>
              </w:rPr>
            </w:pPr>
            <w:r>
              <w:rPr>
                <w:rFonts w:hint="eastAsia" w:ascii="Times New Roman" w:hAnsi="Times New Roman" w:eastAsia="方正黑体_GBK" w:cs="Times New Roman"/>
                <w:color w:val="000000"/>
                <w:kern w:val="0"/>
                <w:sz w:val="28"/>
                <w:szCs w:val="28"/>
              </w:rPr>
              <w:t>范   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92" w:type="dxa"/>
            <w:vMerge w:val="continue"/>
            <w:vAlign w:val="center"/>
          </w:tcPr>
          <w:p>
            <w:pPr>
              <w:keepNext w:val="0"/>
              <w:keepLines w:val="0"/>
              <w:pageBreakBefore w:val="0"/>
              <w:widowControl/>
              <w:kinsoku/>
              <w:wordWrap/>
              <w:overflowPunct/>
              <w:topLinePunct w:val="0"/>
              <w:autoSpaceDE/>
              <w:autoSpaceDN/>
              <w:bidi w:val="0"/>
              <w:adjustRightInd/>
              <w:snapToGrid w:val="0"/>
              <w:spacing w:line="420" w:lineRule="exact"/>
              <w:ind w:left="0" w:leftChars="0" w:right="0" w:rightChars="0" w:firstLine="0" w:firstLineChars="0"/>
              <w:jc w:val="center"/>
              <w:outlineLvl w:val="9"/>
              <w:rPr>
                <w:rFonts w:ascii="宋体" w:hAnsi="宋体" w:cs="宋体"/>
                <w:b/>
                <w:kern w:val="0"/>
                <w:sz w:val="28"/>
                <w:szCs w:val="28"/>
              </w:rPr>
            </w:pPr>
          </w:p>
        </w:tc>
        <w:tc>
          <w:tcPr>
            <w:tcW w:w="1695" w:type="dxa"/>
            <w:vMerge w:val="continue"/>
            <w:vAlign w:val="center"/>
          </w:tcPr>
          <w:p>
            <w:pPr>
              <w:keepNext w:val="0"/>
              <w:keepLines w:val="0"/>
              <w:pageBreakBefore w:val="0"/>
              <w:widowControl/>
              <w:kinsoku/>
              <w:wordWrap/>
              <w:overflowPunct/>
              <w:topLinePunct w:val="0"/>
              <w:autoSpaceDE/>
              <w:autoSpaceDN/>
              <w:bidi w:val="0"/>
              <w:adjustRightInd/>
              <w:snapToGrid w:val="0"/>
              <w:spacing w:line="420" w:lineRule="exact"/>
              <w:ind w:left="0" w:leftChars="0" w:right="0" w:rightChars="0" w:firstLine="0" w:firstLineChars="0"/>
              <w:jc w:val="center"/>
              <w:outlineLvl w:val="9"/>
              <w:rPr>
                <w:rFonts w:ascii="宋体" w:hAnsi="宋体" w:cs="宋体"/>
                <w:b/>
                <w:kern w:val="0"/>
                <w:sz w:val="28"/>
                <w:szCs w:val="28"/>
              </w:rPr>
            </w:pPr>
          </w:p>
        </w:tc>
        <w:tc>
          <w:tcPr>
            <w:tcW w:w="6407" w:type="dxa"/>
            <w:vMerge w:val="continue"/>
            <w:vAlign w:val="top"/>
          </w:tcPr>
          <w:p>
            <w:pPr>
              <w:keepNext w:val="0"/>
              <w:keepLines w:val="0"/>
              <w:pageBreakBefore w:val="0"/>
              <w:widowControl/>
              <w:tabs>
                <w:tab w:val="center" w:pos="2496"/>
              </w:tabs>
              <w:kinsoku/>
              <w:wordWrap/>
              <w:overflowPunct/>
              <w:topLinePunct w:val="0"/>
              <w:autoSpaceDE/>
              <w:autoSpaceDN/>
              <w:bidi w:val="0"/>
              <w:adjustRightInd/>
              <w:snapToGrid w:val="0"/>
              <w:spacing w:line="420" w:lineRule="exact"/>
              <w:ind w:left="0" w:leftChars="0" w:right="0" w:rightChars="0" w:firstLine="0" w:firstLineChars="0"/>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92" w:type="dxa"/>
            <w:vAlign w:val="center"/>
          </w:tcPr>
          <w:p>
            <w:pPr>
              <w:keepNext w:val="0"/>
              <w:keepLines w:val="0"/>
              <w:pageBreakBefore w:val="0"/>
              <w:widowControl/>
              <w:kinsoku/>
              <w:wordWrap/>
              <w:overflowPunct/>
              <w:topLinePunct w:val="0"/>
              <w:autoSpaceDE/>
              <w:autoSpaceDN/>
              <w:bidi w:val="0"/>
              <w:adjustRightInd/>
              <w:snapToGrid w:val="0"/>
              <w:spacing w:line="420" w:lineRule="exact"/>
              <w:ind w:left="0" w:leftChars="0" w:right="0" w:rightChars="0" w:firstLine="0" w:firstLineChars="0"/>
              <w:jc w:val="center"/>
              <w:textAlignment w:val="center"/>
              <w:outlineLvl w:val="9"/>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一类</w:t>
            </w:r>
            <w:r>
              <w:rPr>
                <w:rFonts w:hint="eastAsia" w:ascii="Times New Roman" w:hAnsi="Times New Roman" w:eastAsia="方正仿宋_GBK" w:cs="Times New Roman"/>
                <w:color w:val="000000"/>
                <w:kern w:val="0"/>
                <w:sz w:val="28"/>
                <w:szCs w:val="28"/>
              </w:rPr>
              <w:t>区域</w:t>
            </w:r>
          </w:p>
        </w:tc>
        <w:tc>
          <w:tcPr>
            <w:tcW w:w="1695" w:type="dxa"/>
            <w:vAlign w:val="center"/>
          </w:tcPr>
          <w:p>
            <w:pPr>
              <w:keepNext w:val="0"/>
              <w:keepLines w:val="0"/>
              <w:pageBreakBefore w:val="0"/>
              <w:widowControl/>
              <w:kinsoku/>
              <w:wordWrap/>
              <w:overflowPunct/>
              <w:topLinePunct w:val="0"/>
              <w:autoSpaceDE/>
              <w:autoSpaceDN/>
              <w:bidi w:val="0"/>
              <w:adjustRightInd/>
              <w:snapToGrid w:val="0"/>
              <w:spacing w:line="420" w:lineRule="exact"/>
              <w:ind w:left="0" w:leftChars="0" w:right="0" w:rightChars="0" w:firstLine="0" w:firstLineChars="0"/>
              <w:jc w:val="center"/>
              <w:textAlignment w:val="center"/>
              <w:outlineLvl w:val="9"/>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5.46</w:t>
            </w:r>
          </w:p>
        </w:tc>
        <w:tc>
          <w:tcPr>
            <w:tcW w:w="6407" w:type="dxa"/>
            <w:vAlign w:val="center"/>
          </w:tcPr>
          <w:p>
            <w:pPr>
              <w:keepNext w:val="0"/>
              <w:keepLines w:val="0"/>
              <w:pageBreakBefore w:val="0"/>
              <w:widowControl/>
              <w:kinsoku/>
              <w:wordWrap/>
              <w:overflowPunct/>
              <w:topLinePunct w:val="0"/>
              <w:autoSpaceDE/>
              <w:autoSpaceDN/>
              <w:bidi w:val="0"/>
              <w:adjustRightInd/>
              <w:snapToGrid w:val="0"/>
              <w:spacing w:line="420" w:lineRule="exact"/>
              <w:ind w:left="0" w:leftChars="0" w:right="0" w:rightChars="0" w:firstLine="0" w:firstLineChars="0"/>
              <w:jc w:val="left"/>
              <w:textAlignment w:val="center"/>
              <w:outlineLvl w:val="9"/>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东城街道、南城街道、西城街道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792" w:type="dxa"/>
            <w:vAlign w:val="center"/>
          </w:tcPr>
          <w:p>
            <w:pPr>
              <w:keepNext w:val="0"/>
              <w:keepLines w:val="0"/>
              <w:pageBreakBefore w:val="0"/>
              <w:widowControl/>
              <w:kinsoku/>
              <w:wordWrap/>
              <w:overflowPunct/>
              <w:topLinePunct w:val="0"/>
              <w:autoSpaceDE/>
              <w:autoSpaceDN/>
              <w:bidi w:val="0"/>
              <w:adjustRightInd/>
              <w:snapToGrid w:val="0"/>
              <w:spacing w:line="420" w:lineRule="exact"/>
              <w:ind w:left="0" w:leftChars="0" w:right="0" w:rightChars="0" w:firstLine="0" w:firstLineChars="0"/>
              <w:jc w:val="center"/>
              <w:textAlignment w:val="center"/>
              <w:outlineLvl w:val="9"/>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二类</w:t>
            </w:r>
            <w:r>
              <w:rPr>
                <w:rFonts w:hint="eastAsia" w:ascii="Times New Roman" w:hAnsi="Times New Roman" w:eastAsia="方正仿宋_GBK" w:cs="Times New Roman"/>
                <w:color w:val="000000"/>
                <w:kern w:val="0"/>
                <w:sz w:val="28"/>
                <w:szCs w:val="28"/>
              </w:rPr>
              <w:t>区域</w:t>
            </w:r>
          </w:p>
        </w:tc>
        <w:tc>
          <w:tcPr>
            <w:tcW w:w="1695" w:type="dxa"/>
            <w:vAlign w:val="center"/>
          </w:tcPr>
          <w:p>
            <w:pPr>
              <w:keepNext w:val="0"/>
              <w:keepLines w:val="0"/>
              <w:pageBreakBefore w:val="0"/>
              <w:widowControl/>
              <w:kinsoku/>
              <w:wordWrap/>
              <w:overflowPunct/>
              <w:topLinePunct w:val="0"/>
              <w:autoSpaceDE/>
              <w:autoSpaceDN/>
              <w:bidi w:val="0"/>
              <w:adjustRightInd/>
              <w:snapToGrid w:val="0"/>
              <w:spacing w:line="420" w:lineRule="exact"/>
              <w:ind w:left="0" w:leftChars="0" w:right="0" w:rightChars="0" w:firstLine="0" w:firstLineChars="0"/>
              <w:jc w:val="center"/>
              <w:textAlignment w:val="center"/>
              <w:outlineLvl w:val="9"/>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5.23</w:t>
            </w:r>
          </w:p>
        </w:tc>
        <w:tc>
          <w:tcPr>
            <w:tcW w:w="6407" w:type="dxa"/>
            <w:vAlign w:val="center"/>
          </w:tcPr>
          <w:p>
            <w:pPr>
              <w:keepNext w:val="0"/>
              <w:keepLines w:val="0"/>
              <w:pageBreakBefore w:val="0"/>
              <w:widowControl/>
              <w:kinsoku/>
              <w:wordWrap/>
              <w:overflowPunct/>
              <w:topLinePunct w:val="0"/>
              <w:autoSpaceDE/>
              <w:autoSpaceDN/>
              <w:bidi w:val="0"/>
              <w:adjustRightInd/>
              <w:snapToGrid w:val="0"/>
              <w:spacing w:line="420" w:lineRule="exact"/>
              <w:ind w:left="0" w:leftChars="0" w:right="0" w:rightChars="0" w:firstLine="0" w:firstLineChars="0"/>
              <w:jc w:val="left"/>
              <w:textAlignment w:val="center"/>
              <w:outlineLvl w:val="9"/>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南平镇、水江镇、大观镇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792" w:type="dxa"/>
            <w:vAlign w:val="center"/>
          </w:tcPr>
          <w:p>
            <w:pPr>
              <w:keepNext w:val="0"/>
              <w:keepLines w:val="0"/>
              <w:pageBreakBefore w:val="0"/>
              <w:widowControl/>
              <w:kinsoku/>
              <w:wordWrap/>
              <w:overflowPunct/>
              <w:topLinePunct w:val="0"/>
              <w:autoSpaceDE/>
              <w:autoSpaceDN/>
              <w:bidi w:val="0"/>
              <w:adjustRightInd/>
              <w:snapToGrid w:val="0"/>
              <w:spacing w:line="420" w:lineRule="exact"/>
              <w:ind w:left="0" w:leftChars="0" w:right="0" w:rightChars="0" w:firstLine="0" w:firstLineChars="0"/>
              <w:jc w:val="center"/>
              <w:textAlignment w:val="center"/>
              <w:outlineLvl w:val="9"/>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三类</w:t>
            </w:r>
            <w:r>
              <w:rPr>
                <w:rFonts w:hint="eastAsia" w:ascii="Times New Roman" w:hAnsi="Times New Roman" w:eastAsia="方正仿宋_GBK" w:cs="Times New Roman"/>
                <w:color w:val="000000"/>
                <w:kern w:val="0"/>
                <w:sz w:val="28"/>
                <w:szCs w:val="28"/>
              </w:rPr>
              <w:t>区域</w:t>
            </w:r>
          </w:p>
        </w:tc>
        <w:tc>
          <w:tcPr>
            <w:tcW w:w="1695" w:type="dxa"/>
            <w:vAlign w:val="center"/>
          </w:tcPr>
          <w:p>
            <w:pPr>
              <w:keepNext w:val="0"/>
              <w:keepLines w:val="0"/>
              <w:pageBreakBefore w:val="0"/>
              <w:widowControl/>
              <w:kinsoku/>
              <w:wordWrap/>
              <w:overflowPunct/>
              <w:topLinePunct w:val="0"/>
              <w:autoSpaceDE/>
              <w:autoSpaceDN/>
              <w:bidi w:val="0"/>
              <w:adjustRightInd/>
              <w:snapToGrid w:val="0"/>
              <w:spacing w:line="420" w:lineRule="exact"/>
              <w:ind w:left="0" w:leftChars="0" w:right="0" w:rightChars="0" w:firstLine="0" w:firstLineChars="0"/>
              <w:jc w:val="center"/>
              <w:textAlignment w:val="center"/>
              <w:outlineLvl w:val="9"/>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4.98</w:t>
            </w:r>
          </w:p>
        </w:tc>
        <w:tc>
          <w:tcPr>
            <w:tcW w:w="6407" w:type="dxa"/>
            <w:vAlign w:val="center"/>
          </w:tcPr>
          <w:p>
            <w:pPr>
              <w:keepNext w:val="0"/>
              <w:keepLines w:val="0"/>
              <w:pageBreakBefore w:val="0"/>
              <w:widowControl/>
              <w:kinsoku/>
              <w:wordWrap/>
              <w:overflowPunct/>
              <w:topLinePunct w:val="0"/>
              <w:autoSpaceDE/>
              <w:autoSpaceDN/>
              <w:bidi w:val="0"/>
              <w:adjustRightInd/>
              <w:snapToGrid w:val="0"/>
              <w:spacing w:line="420" w:lineRule="exact"/>
              <w:ind w:left="0" w:leftChars="0" w:right="0" w:rightChars="0" w:firstLine="0" w:firstLineChars="0"/>
              <w:jc w:val="left"/>
              <w:textAlignment w:val="center"/>
              <w:outlineLvl w:val="9"/>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兴隆镇、太平场镇、白沙镇、黎香湖镇、乾丰镇、河图镇、木凉镇、神童镇、石莲镇、鸣玉镇、石溪镇、福寿镇、冷水关镇、民主镇、峰岩乡、骑龙镇、中桥乡、石墙镇、楠竹山镇、金山镇、头渡镇、德隆镇、合溪镇、古花镇、庆元镇、大有镇、三泉镇、山王坪镇</w:t>
            </w:r>
          </w:p>
        </w:tc>
      </w:tr>
    </w:tbl>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附件2</w:t>
      </w:r>
    </w:p>
    <w:tbl>
      <w:tblPr>
        <w:tblStyle w:val="10"/>
        <w:tblpPr w:leftFromText="180" w:rightFromText="180" w:vertAnchor="text" w:horzAnchor="page" w:tblpX="1582" w:tblpY="284"/>
        <w:tblOverlap w:val="never"/>
        <w:tblW w:w="8867" w:type="dxa"/>
        <w:tblInd w:w="0" w:type="dxa"/>
        <w:tblLayout w:type="fixed"/>
        <w:tblCellMar>
          <w:top w:w="0" w:type="dxa"/>
          <w:left w:w="0" w:type="dxa"/>
          <w:bottom w:w="0" w:type="dxa"/>
          <w:right w:w="0" w:type="dxa"/>
        </w:tblCellMar>
      </w:tblPr>
      <w:tblGrid>
        <w:gridCol w:w="2265"/>
        <w:gridCol w:w="4530"/>
        <w:gridCol w:w="2072"/>
      </w:tblGrid>
      <w:tr>
        <w:tblPrEx>
          <w:tblCellMar>
            <w:top w:w="0" w:type="dxa"/>
            <w:left w:w="0" w:type="dxa"/>
            <w:bottom w:w="0" w:type="dxa"/>
            <w:right w:w="0" w:type="dxa"/>
          </w:tblCellMar>
        </w:tblPrEx>
        <w:trPr>
          <w:trHeight w:val="840" w:hRule="atLeast"/>
        </w:trPr>
        <w:tc>
          <w:tcPr>
            <w:tcW w:w="8867" w:type="dxa"/>
            <w:gridSpan w:val="3"/>
            <w:tcBorders>
              <w:top w:val="nil"/>
              <w:left w:val="nil"/>
              <w:bottom w:val="nil"/>
              <w:right w:val="nil"/>
            </w:tcBorders>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kern w:val="0"/>
                <w:sz w:val="44"/>
                <w:szCs w:val="44"/>
              </w:rPr>
              <w:t>南川区集体土地上房屋拆迁</w:t>
            </w:r>
            <w:r>
              <w:rPr>
                <w:rFonts w:hint="eastAsia" w:ascii="方正小标宋_GBK" w:hAnsi="方正小标宋_GBK" w:eastAsia="方正小标宋_GBK" w:cs="方正小标宋_GBK"/>
                <w:color w:val="000000"/>
                <w:kern w:val="0"/>
                <w:sz w:val="44"/>
                <w:szCs w:val="44"/>
              </w:rPr>
              <w:t>重置价格</w:t>
            </w:r>
            <w:r>
              <w:rPr>
                <w:rFonts w:ascii="方正小标宋_GBK" w:hAnsi="方正小标宋_GBK" w:eastAsia="方正小标宋_GBK" w:cs="方正小标宋_GBK"/>
                <w:color w:val="000000"/>
                <w:kern w:val="0"/>
                <w:sz w:val="44"/>
                <w:szCs w:val="44"/>
              </w:rPr>
              <w:t>补偿标准</w:t>
            </w:r>
          </w:p>
        </w:tc>
      </w:tr>
      <w:tr>
        <w:tblPrEx>
          <w:tblCellMar>
            <w:top w:w="0" w:type="dxa"/>
            <w:left w:w="0" w:type="dxa"/>
            <w:bottom w:w="0" w:type="dxa"/>
            <w:right w:w="0" w:type="dxa"/>
          </w:tblCellMar>
        </w:tblPrEx>
        <w:trPr>
          <w:trHeight w:val="330" w:hRule="atLeast"/>
        </w:trPr>
        <w:tc>
          <w:tcPr>
            <w:tcW w:w="8867" w:type="dxa"/>
            <w:gridSpan w:val="3"/>
            <w:tcBorders>
              <w:top w:val="nil"/>
              <w:left w:val="nil"/>
              <w:bottom w:val="nil"/>
              <w:right w:val="nil"/>
            </w:tcBorders>
            <w:tcMar>
              <w:top w:w="15" w:type="dxa"/>
              <w:left w:w="15" w:type="dxa"/>
              <w:right w:w="15" w:type="dxa"/>
            </w:tcMar>
            <w:vAlign w:val="center"/>
          </w:tcPr>
          <w:p>
            <w:pPr>
              <w:widowControl/>
              <w:spacing w:line="240" w:lineRule="exact"/>
              <w:jc w:val="right"/>
              <w:textAlignment w:val="center"/>
              <w:rPr>
                <w:rFonts w:ascii="仿宋_GB2312" w:hAnsi="宋体" w:eastAsia="仿宋_GB2312" w:cs="仿宋_GB2312"/>
                <w:color w:val="000000"/>
                <w:sz w:val="24"/>
                <w:szCs w:val="24"/>
              </w:rPr>
            </w:pPr>
            <w:r>
              <w:rPr>
                <w:rFonts w:hint="eastAsia" w:ascii="方正仿宋_GBK" w:hAnsi="方正仿宋_GBK" w:eastAsia="方正仿宋_GBK" w:cs="方正仿宋_GBK"/>
                <w:color w:val="000000"/>
                <w:kern w:val="0"/>
                <w:sz w:val="24"/>
                <w:szCs w:val="24"/>
              </w:rPr>
              <w:t>单位：元／平方米</w:t>
            </w:r>
          </w:p>
        </w:tc>
      </w:tr>
      <w:tr>
        <w:tblPrEx>
          <w:tblCellMar>
            <w:top w:w="0" w:type="dxa"/>
            <w:left w:w="0" w:type="dxa"/>
            <w:bottom w:w="0" w:type="dxa"/>
            <w:right w:w="0" w:type="dxa"/>
          </w:tblCellMar>
        </w:tblPrEx>
        <w:trPr>
          <w:trHeight w:val="750" w:hRule="atLeas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结构类型</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房屋结构</w:t>
            </w:r>
          </w:p>
        </w:tc>
        <w:tc>
          <w:tcPr>
            <w:tcW w:w="2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补偿标准</w:t>
            </w:r>
          </w:p>
        </w:tc>
      </w:tr>
      <w:tr>
        <w:tblPrEx>
          <w:tblCellMar>
            <w:top w:w="0" w:type="dxa"/>
            <w:left w:w="0" w:type="dxa"/>
            <w:bottom w:w="0" w:type="dxa"/>
            <w:right w:w="0" w:type="dxa"/>
          </w:tblCellMar>
        </w:tblPrEx>
        <w:trPr>
          <w:trHeight w:val="680" w:hRule="exac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钢砼结构</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框架（剪力墙）、现浇盖</w:t>
            </w:r>
          </w:p>
        </w:tc>
        <w:tc>
          <w:tcPr>
            <w:tcW w:w="2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1020</w:t>
            </w:r>
          </w:p>
        </w:tc>
      </w:tr>
      <w:tr>
        <w:tblPrEx>
          <w:tblCellMar>
            <w:top w:w="0" w:type="dxa"/>
            <w:left w:w="0" w:type="dxa"/>
            <w:bottom w:w="0" w:type="dxa"/>
            <w:right w:w="0" w:type="dxa"/>
          </w:tblCellMar>
        </w:tblPrEx>
        <w:trPr>
          <w:trHeight w:val="680" w:hRule="exac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砖混结构</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砖墙（条石）预制盖（现浇盖）</w:t>
            </w:r>
          </w:p>
        </w:tc>
        <w:tc>
          <w:tcPr>
            <w:tcW w:w="2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820</w:t>
            </w:r>
          </w:p>
        </w:tc>
      </w:tr>
      <w:tr>
        <w:tblPrEx>
          <w:tblCellMar>
            <w:top w:w="0" w:type="dxa"/>
            <w:left w:w="0" w:type="dxa"/>
            <w:bottom w:w="0" w:type="dxa"/>
            <w:right w:w="0" w:type="dxa"/>
          </w:tblCellMar>
        </w:tblPrEx>
        <w:trPr>
          <w:trHeight w:val="680" w:hRule="exact"/>
        </w:trPr>
        <w:tc>
          <w:tcPr>
            <w:tcW w:w="22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砖木结构</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砖墙（木板 ）穿逗瓦盖</w:t>
            </w:r>
          </w:p>
        </w:tc>
        <w:tc>
          <w:tcPr>
            <w:tcW w:w="2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690</w:t>
            </w:r>
          </w:p>
        </w:tc>
      </w:tr>
      <w:tr>
        <w:tblPrEx>
          <w:tblCellMar>
            <w:top w:w="0" w:type="dxa"/>
            <w:left w:w="0" w:type="dxa"/>
            <w:bottom w:w="0" w:type="dxa"/>
            <w:right w:w="0" w:type="dxa"/>
          </w:tblCellMar>
        </w:tblPrEx>
        <w:trPr>
          <w:trHeight w:val="680" w:hRule="exact"/>
        </w:trPr>
        <w:tc>
          <w:tcPr>
            <w:tcW w:w="22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ascii="Times New Roman" w:hAnsi="Times New Roman" w:eastAsia="方正仿宋_GBK" w:cs="Times New Roman"/>
                <w:color w:val="000000"/>
                <w:sz w:val="28"/>
                <w:szCs w:val="28"/>
              </w:rPr>
            </w:pP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石棉瓦盖（含油毡、玻纤瓦）</w:t>
            </w:r>
          </w:p>
        </w:tc>
        <w:tc>
          <w:tcPr>
            <w:tcW w:w="2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660</w:t>
            </w:r>
          </w:p>
        </w:tc>
      </w:tr>
      <w:tr>
        <w:tblPrEx>
          <w:tblCellMar>
            <w:top w:w="0" w:type="dxa"/>
            <w:left w:w="0" w:type="dxa"/>
            <w:bottom w:w="0" w:type="dxa"/>
            <w:right w:w="0" w:type="dxa"/>
          </w:tblCellMar>
        </w:tblPrEx>
        <w:trPr>
          <w:trHeight w:val="680" w:hRule="exac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片石结构</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片石墙瓦盖、石棉瓦盖（含油毡、玻纤瓦）</w:t>
            </w:r>
          </w:p>
        </w:tc>
        <w:tc>
          <w:tcPr>
            <w:tcW w:w="2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660</w:t>
            </w:r>
          </w:p>
        </w:tc>
      </w:tr>
      <w:tr>
        <w:tblPrEx>
          <w:tblCellMar>
            <w:top w:w="0" w:type="dxa"/>
            <w:left w:w="0" w:type="dxa"/>
            <w:bottom w:w="0" w:type="dxa"/>
            <w:right w:w="0" w:type="dxa"/>
          </w:tblCellMar>
        </w:tblPrEx>
        <w:trPr>
          <w:trHeight w:val="680" w:hRule="exac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土墙（木）结构</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土墙（木）瓦盖、石棉瓦、玻纤瓦盖</w:t>
            </w:r>
          </w:p>
        </w:tc>
        <w:tc>
          <w:tcPr>
            <w:tcW w:w="2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570</w:t>
            </w:r>
          </w:p>
        </w:tc>
      </w:tr>
      <w:tr>
        <w:tblPrEx>
          <w:tblCellMar>
            <w:top w:w="0" w:type="dxa"/>
            <w:left w:w="0" w:type="dxa"/>
            <w:bottom w:w="0" w:type="dxa"/>
            <w:right w:w="0" w:type="dxa"/>
          </w:tblCellMar>
        </w:tblPrEx>
        <w:trPr>
          <w:trHeight w:val="680" w:hRule="exact"/>
        </w:trPr>
        <w:tc>
          <w:tcPr>
            <w:tcW w:w="22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圈舍</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砖石</w:t>
            </w:r>
          </w:p>
        </w:tc>
        <w:tc>
          <w:tcPr>
            <w:tcW w:w="2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420</w:t>
            </w:r>
          </w:p>
        </w:tc>
      </w:tr>
      <w:tr>
        <w:tblPrEx>
          <w:tblCellMar>
            <w:top w:w="0" w:type="dxa"/>
            <w:left w:w="0" w:type="dxa"/>
            <w:bottom w:w="0" w:type="dxa"/>
            <w:right w:w="0" w:type="dxa"/>
          </w:tblCellMar>
        </w:tblPrEx>
        <w:trPr>
          <w:trHeight w:val="680" w:hRule="exact"/>
        </w:trPr>
        <w:tc>
          <w:tcPr>
            <w:tcW w:w="22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ascii="Times New Roman" w:hAnsi="Times New Roman" w:eastAsia="方正仿宋_GBK" w:cs="Times New Roman"/>
                <w:color w:val="000000"/>
                <w:sz w:val="28"/>
                <w:szCs w:val="28"/>
              </w:rPr>
            </w:pP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土木</w:t>
            </w:r>
          </w:p>
        </w:tc>
        <w:tc>
          <w:tcPr>
            <w:tcW w:w="2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360</w:t>
            </w:r>
          </w:p>
        </w:tc>
      </w:tr>
      <w:tr>
        <w:tblPrEx>
          <w:tblCellMar>
            <w:top w:w="0" w:type="dxa"/>
            <w:left w:w="0" w:type="dxa"/>
            <w:bottom w:w="0" w:type="dxa"/>
            <w:right w:w="0" w:type="dxa"/>
          </w:tblCellMar>
        </w:tblPrEx>
        <w:trPr>
          <w:trHeight w:val="680" w:hRule="exac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简易结构</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ascii="Times New Roman" w:hAnsi="Times New Roman" w:eastAsia="方正仿宋_GBK" w:cs="Times New Roman"/>
                <w:color w:val="000000"/>
                <w:sz w:val="28"/>
                <w:szCs w:val="28"/>
              </w:rPr>
            </w:pPr>
          </w:p>
        </w:tc>
        <w:tc>
          <w:tcPr>
            <w:tcW w:w="2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150</w:t>
            </w:r>
          </w:p>
        </w:tc>
      </w:tr>
      <w:tr>
        <w:tblPrEx>
          <w:tblCellMar>
            <w:top w:w="0" w:type="dxa"/>
            <w:left w:w="0" w:type="dxa"/>
            <w:bottom w:w="0" w:type="dxa"/>
            <w:right w:w="0" w:type="dxa"/>
          </w:tblCellMar>
        </w:tblPrEx>
        <w:trPr>
          <w:trHeight w:val="480" w:hRule="atLeast"/>
        </w:trPr>
        <w:tc>
          <w:tcPr>
            <w:tcW w:w="2265" w:type="dxa"/>
            <w:tcBorders>
              <w:top w:val="single" w:color="000000" w:sz="4" w:space="0"/>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left"/>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说明：</w:t>
            </w:r>
          </w:p>
        </w:tc>
        <w:tc>
          <w:tcPr>
            <w:tcW w:w="4530" w:type="dxa"/>
            <w:tcBorders>
              <w:top w:val="single" w:color="000000" w:sz="4" w:space="0"/>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left"/>
              <w:outlineLvl w:val="9"/>
              <w:rPr>
                <w:rFonts w:ascii="方正仿宋_GBK" w:hAnsi="方正仿宋_GBK" w:eastAsia="方正仿宋_GBK" w:cs="方正仿宋_GBK"/>
                <w:color w:val="000000"/>
                <w:sz w:val="24"/>
                <w:szCs w:val="24"/>
              </w:rPr>
            </w:pPr>
          </w:p>
        </w:tc>
        <w:tc>
          <w:tcPr>
            <w:tcW w:w="2072" w:type="dxa"/>
            <w:tcBorders>
              <w:top w:val="single" w:color="000000" w:sz="4" w:space="0"/>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outlineLvl w:val="9"/>
              <w:rPr>
                <w:rFonts w:ascii="Times New Roman" w:hAnsi="Times New Roman" w:eastAsia="宋体" w:cs="Times New Roman"/>
                <w:color w:val="000000"/>
                <w:sz w:val="24"/>
                <w:szCs w:val="24"/>
              </w:rPr>
            </w:pPr>
          </w:p>
        </w:tc>
      </w:tr>
      <w:tr>
        <w:tblPrEx>
          <w:tblCellMar>
            <w:top w:w="0" w:type="dxa"/>
            <w:left w:w="0" w:type="dxa"/>
            <w:bottom w:w="0" w:type="dxa"/>
            <w:right w:w="0" w:type="dxa"/>
          </w:tblCellMar>
        </w:tblPrEx>
        <w:trPr>
          <w:trHeight w:val="740" w:hRule="atLeast"/>
        </w:trPr>
        <w:tc>
          <w:tcPr>
            <w:tcW w:w="8867" w:type="dxa"/>
            <w:gridSpan w:val="3"/>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480" w:firstLineChars="200"/>
              <w:jc w:val="left"/>
              <w:textAlignment w:val="center"/>
              <w:outlineLvl w:val="9"/>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rPr>
              <w:t>1</w:t>
            </w:r>
            <w:r>
              <w:rPr>
                <w:rFonts w:hint="eastAsia" w:eastAsia="宋体" w:cs="Times New Roman"/>
                <w:color w:val="000000"/>
                <w:kern w:val="0"/>
                <w:sz w:val="24"/>
                <w:szCs w:val="24"/>
                <w:lang w:val="en-US" w:eastAsia="zh-CN"/>
              </w:rPr>
              <w:t>.</w:t>
            </w:r>
            <w:r>
              <w:rPr>
                <w:rFonts w:hint="eastAsia" w:ascii="方正仿宋_GBK" w:hAnsi="方正仿宋_GBK" w:eastAsia="方正仿宋_GBK" w:cs="方正仿宋_GBK"/>
                <w:color w:val="000000"/>
                <w:kern w:val="0"/>
                <w:sz w:val="24"/>
                <w:szCs w:val="24"/>
              </w:rPr>
              <w:t>房屋层高在</w:t>
            </w:r>
            <w:r>
              <w:rPr>
                <w:rFonts w:ascii="Times New Roman" w:hAnsi="Times New Roman" w:eastAsia="宋体" w:cs="Times New Roman"/>
                <w:color w:val="000000"/>
                <w:kern w:val="0"/>
                <w:sz w:val="24"/>
                <w:szCs w:val="24"/>
              </w:rPr>
              <w:t>2.2</w:t>
            </w:r>
            <w:r>
              <w:rPr>
                <w:rFonts w:hint="eastAsia" w:ascii="方正仿宋_GBK" w:hAnsi="方正仿宋_GBK" w:eastAsia="方正仿宋_GBK" w:cs="方正仿宋_GBK"/>
                <w:color w:val="000000"/>
                <w:kern w:val="0"/>
                <w:sz w:val="24"/>
                <w:szCs w:val="24"/>
              </w:rPr>
              <w:t>米以下（不含</w:t>
            </w:r>
            <w:r>
              <w:rPr>
                <w:rFonts w:ascii="Times New Roman" w:hAnsi="Times New Roman" w:eastAsia="宋体" w:cs="Times New Roman"/>
                <w:color w:val="000000"/>
                <w:kern w:val="0"/>
                <w:sz w:val="24"/>
                <w:szCs w:val="24"/>
              </w:rPr>
              <w:t>2.2</w:t>
            </w:r>
            <w:r>
              <w:rPr>
                <w:rFonts w:hint="eastAsia" w:ascii="方正仿宋_GBK" w:hAnsi="方正仿宋_GBK" w:eastAsia="方正仿宋_GBK" w:cs="方正仿宋_GBK"/>
                <w:color w:val="000000"/>
                <w:kern w:val="0"/>
                <w:sz w:val="24"/>
                <w:szCs w:val="24"/>
              </w:rPr>
              <w:t>米），</w:t>
            </w:r>
            <w:r>
              <w:rPr>
                <w:rFonts w:ascii="Times New Roman" w:hAnsi="Times New Roman" w:eastAsia="宋体" w:cs="Times New Roman"/>
                <w:color w:val="000000"/>
                <w:kern w:val="0"/>
                <w:sz w:val="24"/>
                <w:szCs w:val="24"/>
              </w:rPr>
              <w:t>1.5</w:t>
            </w:r>
            <w:r>
              <w:rPr>
                <w:rFonts w:hint="eastAsia" w:ascii="方正仿宋_GBK" w:hAnsi="方正仿宋_GBK" w:eastAsia="方正仿宋_GBK" w:cs="方正仿宋_GBK"/>
                <w:color w:val="000000"/>
                <w:kern w:val="0"/>
                <w:sz w:val="24"/>
                <w:szCs w:val="24"/>
              </w:rPr>
              <w:t>米以上（含</w:t>
            </w:r>
            <w:r>
              <w:rPr>
                <w:rFonts w:ascii="Times New Roman" w:hAnsi="Times New Roman" w:eastAsia="宋体" w:cs="Times New Roman"/>
                <w:color w:val="000000"/>
                <w:kern w:val="0"/>
                <w:sz w:val="24"/>
                <w:szCs w:val="24"/>
              </w:rPr>
              <w:t>1.5</w:t>
            </w:r>
            <w:r>
              <w:rPr>
                <w:rFonts w:hint="eastAsia" w:ascii="方正仿宋_GBK" w:hAnsi="方正仿宋_GBK" w:eastAsia="方正仿宋_GBK" w:cs="方正仿宋_GBK"/>
                <w:color w:val="000000"/>
                <w:kern w:val="0"/>
                <w:sz w:val="24"/>
                <w:szCs w:val="24"/>
              </w:rPr>
              <w:t>米）的，按同类房屋标准的</w:t>
            </w:r>
            <w:r>
              <w:rPr>
                <w:rFonts w:ascii="Times New Roman" w:hAnsi="Times New Roman" w:eastAsia="宋体" w:cs="Times New Roman"/>
                <w:color w:val="000000"/>
                <w:kern w:val="0"/>
                <w:sz w:val="24"/>
                <w:szCs w:val="24"/>
              </w:rPr>
              <w:t>70%</w:t>
            </w:r>
            <w:r>
              <w:rPr>
                <w:rFonts w:hint="eastAsia" w:ascii="方正仿宋_GBK" w:hAnsi="方正仿宋_GBK" w:eastAsia="方正仿宋_GBK" w:cs="方正仿宋_GBK"/>
                <w:color w:val="000000"/>
                <w:kern w:val="0"/>
                <w:sz w:val="24"/>
                <w:szCs w:val="24"/>
              </w:rPr>
              <w:t>计算补偿。</w:t>
            </w:r>
          </w:p>
        </w:tc>
      </w:tr>
      <w:tr>
        <w:tblPrEx>
          <w:tblCellMar>
            <w:top w:w="0" w:type="dxa"/>
            <w:left w:w="0" w:type="dxa"/>
            <w:bottom w:w="0" w:type="dxa"/>
            <w:right w:w="0" w:type="dxa"/>
          </w:tblCellMar>
        </w:tblPrEx>
        <w:trPr>
          <w:trHeight w:val="740" w:hRule="atLeast"/>
        </w:trPr>
        <w:tc>
          <w:tcPr>
            <w:tcW w:w="8867" w:type="dxa"/>
            <w:gridSpan w:val="3"/>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480" w:firstLineChars="200"/>
              <w:jc w:val="left"/>
              <w:textAlignment w:val="center"/>
              <w:outlineLvl w:val="9"/>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rPr>
              <w:t>2</w:t>
            </w:r>
            <w:r>
              <w:rPr>
                <w:rFonts w:hint="eastAsia" w:ascii="方正仿宋_GBK" w:hAnsi="方正仿宋_GBK" w:cs="方正仿宋_GBK"/>
                <w:color w:val="000000"/>
                <w:kern w:val="0"/>
                <w:sz w:val="24"/>
                <w:szCs w:val="24"/>
                <w:lang w:val="en-US" w:eastAsia="zh-CN"/>
              </w:rPr>
              <w:t>.</w:t>
            </w:r>
            <w:r>
              <w:rPr>
                <w:rFonts w:hint="eastAsia" w:ascii="方正仿宋_GBK" w:hAnsi="方正仿宋_GBK" w:eastAsia="方正仿宋_GBK" w:cs="方正仿宋_GBK"/>
                <w:color w:val="000000"/>
                <w:kern w:val="0"/>
                <w:sz w:val="24"/>
                <w:szCs w:val="24"/>
              </w:rPr>
              <w:t>房屋层高在</w:t>
            </w:r>
            <w:r>
              <w:rPr>
                <w:rFonts w:ascii="Times New Roman" w:hAnsi="Times New Roman" w:eastAsia="宋体" w:cs="Times New Roman"/>
                <w:color w:val="000000"/>
                <w:kern w:val="0"/>
                <w:sz w:val="24"/>
                <w:szCs w:val="24"/>
              </w:rPr>
              <w:t>1.5</w:t>
            </w:r>
            <w:r>
              <w:rPr>
                <w:rFonts w:hint="eastAsia" w:ascii="方正仿宋_GBK" w:hAnsi="方正仿宋_GBK" w:eastAsia="方正仿宋_GBK" w:cs="方正仿宋_GBK"/>
                <w:color w:val="000000"/>
                <w:kern w:val="0"/>
                <w:sz w:val="24"/>
                <w:szCs w:val="24"/>
              </w:rPr>
              <w:t>米以下（不含</w:t>
            </w:r>
            <w:r>
              <w:rPr>
                <w:rFonts w:ascii="Times New Roman" w:hAnsi="Times New Roman" w:eastAsia="宋体" w:cs="Times New Roman"/>
                <w:color w:val="000000"/>
                <w:kern w:val="0"/>
                <w:sz w:val="24"/>
                <w:szCs w:val="24"/>
              </w:rPr>
              <w:t>1.5</w:t>
            </w:r>
            <w:r>
              <w:rPr>
                <w:rFonts w:hint="eastAsia" w:ascii="方正仿宋_GBK" w:hAnsi="方正仿宋_GBK" w:eastAsia="方正仿宋_GBK" w:cs="方正仿宋_GBK"/>
                <w:color w:val="000000"/>
                <w:kern w:val="0"/>
                <w:sz w:val="24"/>
                <w:szCs w:val="24"/>
              </w:rPr>
              <w:t>米），</w:t>
            </w:r>
            <w:r>
              <w:rPr>
                <w:rFonts w:ascii="Times New Roman" w:hAnsi="Times New Roman" w:eastAsia="宋体" w:cs="Times New Roman"/>
                <w:color w:val="000000"/>
                <w:kern w:val="0"/>
                <w:sz w:val="24"/>
                <w:szCs w:val="24"/>
              </w:rPr>
              <w:t>1</w:t>
            </w:r>
            <w:r>
              <w:rPr>
                <w:rFonts w:hint="eastAsia" w:ascii="方正仿宋_GBK" w:hAnsi="方正仿宋_GBK" w:eastAsia="方正仿宋_GBK" w:cs="方正仿宋_GBK"/>
                <w:color w:val="000000"/>
                <w:kern w:val="0"/>
                <w:sz w:val="24"/>
                <w:szCs w:val="24"/>
              </w:rPr>
              <w:t>米以上（含</w:t>
            </w:r>
            <w:r>
              <w:rPr>
                <w:rFonts w:ascii="Times New Roman" w:hAnsi="Times New Roman" w:eastAsia="宋体" w:cs="Times New Roman"/>
                <w:color w:val="000000"/>
                <w:kern w:val="0"/>
                <w:sz w:val="24"/>
                <w:szCs w:val="24"/>
              </w:rPr>
              <w:t>1</w:t>
            </w:r>
            <w:r>
              <w:rPr>
                <w:rFonts w:hint="eastAsia" w:ascii="方正仿宋_GBK" w:hAnsi="方正仿宋_GBK" w:eastAsia="方正仿宋_GBK" w:cs="方正仿宋_GBK"/>
                <w:color w:val="000000"/>
                <w:kern w:val="0"/>
                <w:sz w:val="24"/>
                <w:szCs w:val="24"/>
              </w:rPr>
              <w:t>米）的，按同类房屋标准的</w:t>
            </w:r>
            <w:r>
              <w:rPr>
                <w:rFonts w:ascii="Times New Roman" w:hAnsi="Times New Roman" w:eastAsia="宋体" w:cs="Times New Roman"/>
                <w:color w:val="000000"/>
                <w:kern w:val="0"/>
                <w:sz w:val="24"/>
                <w:szCs w:val="24"/>
              </w:rPr>
              <w:t>50%</w:t>
            </w:r>
            <w:r>
              <w:rPr>
                <w:rFonts w:hint="eastAsia" w:ascii="方正仿宋_GBK" w:hAnsi="方正仿宋_GBK" w:eastAsia="方正仿宋_GBK" w:cs="方正仿宋_GBK"/>
                <w:color w:val="000000"/>
                <w:kern w:val="0"/>
                <w:sz w:val="24"/>
                <w:szCs w:val="24"/>
              </w:rPr>
              <w:t>计算补偿。</w:t>
            </w:r>
          </w:p>
        </w:tc>
      </w:tr>
      <w:tr>
        <w:tblPrEx>
          <w:tblCellMar>
            <w:top w:w="0" w:type="dxa"/>
            <w:left w:w="0" w:type="dxa"/>
            <w:bottom w:w="0" w:type="dxa"/>
            <w:right w:w="0" w:type="dxa"/>
          </w:tblCellMar>
        </w:tblPrEx>
        <w:trPr>
          <w:trHeight w:val="380" w:hRule="atLeast"/>
        </w:trPr>
        <w:tc>
          <w:tcPr>
            <w:tcW w:w="8867" w:type="dxa"/>
            <w:gridSpan w:val="3"/>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480" w:firstLineChars="200"/>
              <w:jc w:val="left"/>
              <w:textAlignment w:val="center"/>
              <w:outlineLvl w:val="9"/>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rPr>
              <w:t>3</w:t>
            </w:r>
            <w:r>
              <w:rPr>
                <w:rFonts w:hint="eastAsia" w:ascii="方正仿宋_GBK" w:hAnsi="方正仿宋_GBK" w:cs="方正仿宋_GBK"/>
                <w:color w:val="000000"/>
                <w:kern w:val="0"/>
                <w:sz w:val="24"/>
                <w:szCs w:val="24"/>
                <w:lang w:val="en-US" w:eastAsia="zh-CN"/>
              </w:rPr>
              <w:t>.</w:t>
            </w:r>
            <w:r>
              <w:rPr>
                <w:rFonts w:hint="eastAsia" w:ascii="方正仿宋_GBK" w:hAnsi="方正仿宋_GBK" w:eastAsia="方正仿宋_GBK" w:cs="方正仿宋_GBK"/>
                <w:color w:val="000000"/>
                <w:kern w:val="0"/>
                <w:sz w:val="24"/>
                <w:szCs w:val="24"/>
              </w:rPr>
              <w:t>房屋层高在</w:t>
            </w:r>
            <w:r>
              <w:rPr>
                <w:rFonts w:ascii="Times New Roman" w:hAnsi="Times New Roman" w:eastAsia="宋体" w:cs="Times New Roman"/>
                <w:color w:val="000000"/>
                <w:kern w:val="0"/>
                <w:sz w:val="24"/>
                <w:szCs w:val="24"/>
              </w:rPr>
              <w:t>1</w:t>
            </w:r>
            <w:r>
              <w:rPr>
                <w:rFonts w:hint="eastAsia" w:ascii="方正仿宋_GBK" w:hAnsi="方正仿宋_GBK" w:eastAsia="方正仿宋_GBK" w:cs="方正仿宋_GBK"/>
                <w:color w:val="000000"/>
                <w:kern w:val="0"/>
                <w:sz w:val="24"/>
                <w:szCs w:val="24"/>
              </w:rPr>
              <w:t>米以下（不含</w:t>
            </w:r>
            <w:r>
              <w:rPr>
                <w:rFonts w:ascii="Times New Roman" w:hAnsi="Times New Roman" w:eastAsia="宋体" w:cs="Times New Roman"/>
                <w:color w:val="000000"/>
                <w:kern w:val="0"/>
                <w:sz w:val="24"/>
                <w:szCs w:val="24"/>
              </w:rPr>
              <w:t>1</w:t>
            </w:r>
            <w:r>
              <w:rPr>
                <w:rFonts w:hint="eastAsia" w:ascii="方正仿宋_GBK" w:hAnsi="方正仿宋_GBK" w:eastAsia="方正仿宋_GBK" w:cs="方正仿宋_GBK"/>
                <w:color w:val="000000"/>
                <w:kern w:val="0"/>
                <w:sz w:val="24"/>
                <w:szCs w:val="24"/>
              </w:rPr>
              <w:t>米）的，按同类房屋标准的</w:t>
            </w:r>
            <w:r>
              <w:rPr>
                <w:rFonts w:ascii="Times New Roman" w:hAnsi="Times New Roman" w:eastAsia="宋体" w:cs="Times New Roman"/>
                <w:color w:val="000000"/>
                <w:kern w:val="0"/>
                <w:sz w:val="24"/>
                <w:szCs w:val="24"/>
              </w:rPr>
              <w:t>20%</w:t>
            </w:r>
            <w:r>
              <w:rPr>
                <w:rFonts w:hint="eastAsia" w:ascii="方正仿宋_GBK" w:hAnsi="方正仿宋_GBK" w:eastAsia="方正仿宋_GBK" w:cs="方正仿宋_GBK"/>
                <w:color w:val="000000"/>
                <w:kern w:val="0"/>
                <w:sz w:val="24"/>
                <w:szCs w:val="24"/>
              </w:rPr>
              <w:t>计算补偿。</w:t>
            </w:r>
          </w:p>
        </w:tc>
      </w:tr>
      <w:tr>
        <w:tblPrEx>
          <w:tblCellMar>
            <w:top w:w="0" w:type="dxa"/>
            <w:left w:w="0" w:type="dxa"/>
            <w:bottom w:w="0" w:type="dxa"/>
            <w:right w:w="0" w:type="dxa"/>
          </w:tblCellMar>
        </w:tblPrEx>
        <w:trPr>
          <w:trHeight w:val="380" w:hRule="atLeast"/>
        </w:trPr>
        <w:tc>
          <w:tcPr>
            <w:tcW w:w="8867" w:type="dxa"/>
            <w:gridSpan w:val="3"/>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480" w:firstLineChars="200"/>
              <w:jc w:val="left"/>
              <w:textAlignment w:val="center"/>
              <w:outlineLvl w:val="9"/>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rPr>
              <w:t>4</w:t>
            </w:r>
            <w:r>
              <w:rPr>
                <w:rFonts w:hint="eastAsia" w:ascii="方正仿宋_GBK" w:hAnsi="方正仿宋_GBK" w:cs="方正仿宋_GBK"/>
                <w:color w:val="000000"/>
                <w:kern w:val="0"/>
                <w:sz w:val="24"/>
                <w:szCs w:val="24"/>
                <w:lang w:val="en-US" w:eastAsia="zh-CN"/>
              </w:rPr>
              <w:t>.</w:t>
            </w:r>
            <w:r>
              <w:rPr>
                <w:rFonts w:hint="eastAsia" w:ascii="方正仿宋_GBK" w:hAnsi="方正仿宋_GBK" w:eastAsia="方正仿宋_GBK" w:cs="方正仿宋_GBK"/>
                <w:color w:val="000000"/>
                <w:kern w:val="0"/>
                <w:sz w:val="24"/>
                <w:szCs w:val="24"/>
              </w:rPr>
              <w:t>外阳台按同类房屋的</w:t>
            </w:r>
            <w:r>
              <w:rPr>
                <w:rFonts w:ascii="Times New Roman" w:hAnsi="Times New Roman" w:eastAsia="宋体" w:cs="Times New Roman"/>
                <w:color w:val="000000"/>
                <w:kern w:val="0"/>
                <w:sz w:val="24"/>
                <w:szCs w:val="24"/>
              </w:rPr>
              <w:t>50%</w:t>
            </w:r>
            <w:r>
              <w:rPr>
                <w:rFonts w:hint="eastAsia" w:ascii="方正仿宋_GBK" w:hAnsi="方正仿宋_GBK" w:eastAsia="方正仿宋_GBK" w:cs="方正仿宋_GBK"/>
                <w:color w:val="000000"/>
                <w:kern w:val="0"/>
                <w:sz w:val="24"/>
                <w:szCs w:val="24"/>
              </w:rPr>
              <w:t>计算。</w:t>
            </w:r>
          </w:p>
        </w:tc>
      </w:tr>
      <w:tr>
        <w:tblPrEx>
          <w:tblCellMar>
            <w:top w:w="0" w:type="dxa"/>
            <w:left w:w="0" w:type="dxa"/>
            <w:bottom w:w="0" w:type="dxa"/>
            <w:right w:w="0" w:type="dxa"/>
          </w:tblCellMar>
        </w:tblPrEx>
        <w:trPr>
          <w:trHeight w:val="380" w:hRule="atLeast"/>
        </w:trPr>
        <w:tc>
          <w:tcPr>
            <w:tcW w:w="8867" w:type="dxa"/>
            <w:gridSpan w:val="3"/>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480" w:firstLineChars="200"/>
              <w:jc w:val="left"/>
              <w:textAlignment w:val="center"/>
              <w:outlineLvl w:val="9"/>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rPr>
              <w:t>5</w:t>
            </w:r>
            <w:r>
              <w:rPr>
                <w:rFonts w:hint="eastAsia" w:ascii="方正仿宋_GBK" w:hAnsi="方正仿宋_GBK" w:cs="方正仿宋_GBK"/>
                <w:color w:val="000000"/>
                <w:kern w:val="0"/>
                <w:sz w:val="24"/>
                <w:szCs w:val="24"/>
                <w:lang w:val="en-US" w:eastAsia="zh-CN"/>
              </w:rPr>
              <w:t>.</w:t>
            </w:r>
            <w:r>
              <w:rPr>
                <w:rFonts w:hint="eastAsia" w:ascii="方正仿宋_GBK" w:hAnsi="方正仿宋_GBK" w:eastAsia="方正仿宋_GBK" w:cs="方正仿宋_GBK"/>
                <w:color w:val="000000"/>
                <w:kern w:val="0"/>
                <w:sz w:val="24"/>
                <w:szCs w:val="24"/>
              </w:rPr>
              <w:t>房屋面积以外墙尺寸计算。</w:t>
            </w:r>
          </w:p>
        </w:tc>
      </w:tr>
    </w:tbl>
    <w:p>
      <w:pPr>
        <w:pStyle w:val="16"/>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附件3</w:t>
      </w:r>
    </w:p>
    <w:p>
      <w:pPr>
        <w:pStyle w:val="16"/>
        <w:jc w:val="center"/>
        <w:rPr>
          <w:rFonts w:hint="eastAsia" w:ascii="Times New Roman" w:hAnsi="Times New Roman" w:eastAsia="方正黑体_GBK" w:cs="Times New Roman"/>
          <w:color w:val="000000"/>
          <w:kern w:val="0"/>
          <w:sz w:val="28"/>
          <w:szCs w:val="28"/>
        </w:rPr>
      </w:pPr>
      <w:r>
        <w:rPr>
          <w:rFonts w:ascii="Times New Roman" w:hAnsi="Times New Roman" w:eastAsia="方正小标宋_GBK" w:cs="Times New Roman"/>
          <w:color w:val="000000"/>
          <w:kern w:val="0"/>
          <w:sz w:val="36"/>
          <w:szCs w:val="36"/>
        </w:rPr>
        <w:t>南川区征收集体土地上零星林木补偿标准</w:t>
      </w:r>
    </w:p>
    <w:p>
      <w:pPr>
        <w:pStyle w:val="16"/>
        <w:rPr>
          <w:rFonts w:hint="eastAsia" w:ascii="Times New Roman" w:hAnsi="Times New Roman" w:eastAsia="方正黑体_GBK" w:cs="Times New Roman"/>
          <w:color w:val="000000"/>
          <w:kern w:val="0"/>
          <w:sz w:val="28"/>
          <w:szCs w:val="28"/>
        </w:rPr>
      </w:pPr>
    </w:p>
    <w:tbl>
      <w:tblPr>
        <w:tblStyle w:val="10"/>
        <w:tblW w:w="8860" w:type="dxa"/>
        <w:jc w:val="center"/>
        <w:tblLayout w:type="fixed"/>
        <w:tblCellMar>
          <w:top w:w="0" w:type="dxa"/>
          <w:left w:w="0" w:type="dxa"/>
          <w:bottom w:w="0" w:type="dxa"/>
          <w:right w:w="0" w:type="dxa"/>
        </w:tblCellMar>
      </w:tblPr>
      <w:tblGrid>
        <w:gridCol w:w="1139"/>
        <w:gridCol w:w="2040"/>
        <w:gridCol w:w="1040"/>
        <w:gridCol w:w="1533"/>
        <w:gridCol w:w="3108"/>
      </w:tblGrid>
      <w:tr>
        <w:tblPrEx>
          <w:tblCellMar>
            <w:top w:w="0" w:type="dxa"/>
            <w:left w:w="0" w:type="dxa"/>
            <w:bottom w:w="0" w:type="dxa"/>
            <w:right w:w="0" w:type="dxa"/>
          </w:tblCellMar>
        </w:tblPrEx>
        <w:trPr>
          <w:trHeight w:val="624" w:hRule="exact"/>
          <w:tblHeader/>
          <w:jc w:val="center"/>
        </w:trPr>
        <w:tc>
          <w:tcPr>
            <w:tcW w:w="11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黑体_GBK" w:cs="Times New Roman"/>
                <w:color w:val="000000"/>
                <w:sz w:val="24"/>
                <w:szCs w:val="24"/>
              </w:rPr>
            </w:pPr>
            <w:r>
              <w:rPr>
                <w:rFonts w:ascii="Times New Roman" w:hAnsi="Times New Roman" w:eastAsia="方正黑体_GBK" w:cs="Times New Roman"/>
                <w:color w:val="000000"/>
                <w:kern w:val="0"/>
                <w:sz w:val="24"/>
                <w:szCs w:val="24"/>
              </w:rPr>
              <w:t>名</w:t>
            </w:r>
            <w:r>
              <w:rPr>
                <w:rStyle w:val="17"/>
                <w:rFonts w:eastAsia="方正黑体_GBK"/>
              </w:rPr>
              <w:t xml:space="preserve"> </w:t>
            </w:r>
            <w:r>
              <w:rPr>
                <w:rFonts w:ascii="Times New Roman" w:hAnsi="Times New Roman" w:eastAsia="方正黑体_GBK" w:cs="Times New Roman"/>
                <w:color w:val="000000"/>
                <w:kern w:val="0"/>
                <w:sz w:val="24"/>
                <w:szCs w:val="24"/>
              </w:rPr>
              <w:t>称</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黑体_GBK" w:cs="Times New Roman"/>
                <w:color w:val="000000"/>
                <w:sz w:val="24"/>
                <w:szCs w:val="24"/>
              </w:rPr>
            </w:pPr>
            <w:r>
              <w:rPr>
                <w:rFonts w:ascii="Times New Roman" w:hAnsi="Times New Roman" w:eastAsia="方正黑体_GBK" w:cs="Times New Roman"/>
                <w:color w:val="000000"/>
                <w:kern w:val="0"/>
                <w:sz w:val="24"/>
                <w:szCs w:val="24"/>
              </w:rPr>
              <w:t>规</w:t>
            </w:r>
            <w:r>
              <w:rPr>
                <w:rStyle w:val="17"/>
                <w:rFonts w:eastAsia="方正黑体_GBK"/>
              </w:rPr>
              <w:t xml:space="preserve">   </w:t>
            </w:r>
            <w:r>
              <w:rPr>
                <w:rFonts w:ascii="Times New Roman" w:hAnsi="Times New Roman" w:eastAsia="方正黑体_GBK" w:cs="Times New Roman"/>
                <w:color w:val="000000"/>
                <w:kern w:val="0"/>
                <w:sz w:val="24"/>
                <w:szCs w:val="24"/>
              </w:rPr>
              <w:t>格</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黑体_GBK" w:cs="Times New Roman"/>
                <w:color w:val="000000"/>
                <w:sz w:val="24"/>
                <w:szCs w:val="24"/>
              </w:rPr>
            </w:pPr>
            <w:r>
              <w:rPr>
                <w:rFonts w:ascii="Times New Roman" w:hAnsi="Times New Roman" w:eastAsia="方正黑体_GBK" w:cs="Times New Roman"/>
                <w:color w:val="000000"/>
                <w:kern w:val="0"/>
                <w:sz w:val="24"/>
                <w:szCs w:val="24"/>
              </w:rPr>
              <w:t>单位</w:t>
            </w: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黑体_GBK" w:cs="Times New Roman"/>
                <w:color w:val="000000"/>
                <w:sz w:val="24"/>
                <w:szCs w:val="24"/>
              </w:rPr>
            </w:pPr>
            <w:r>
              <w:rPr>
                <w:rFonts w:ascii="Times New Roman" w:hAnsi="Times New Roman" w:eastAsia="方正黑体_GBK" w:cs="Times New Roman"/>
                <w:color w:val="000000"/>
                <w:kern w:val="0"/>
                <w:sz w:val="24"/>
                <w:szCs w:val="24"/>
              </w:rPr>
              <w:t>标准（元）</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黑体_GBK" w:cs="Times New Roman"/>
                <w:color w:val="000000"/>
                <w:sz w:val="24"/>
                <w:szCs w:val="24"/>
              </w:rPr>
            </w:pPr>
            <w:r>
              <w:rPr>
                <w:rFonts w:ascii="Times New Roman" w:hAnsi="Times New Roman" w:eastAsia="方正黑体_GBK" w:cs="Times New Roman"/>
                <w:color w:val="000000"/>
                <w:kern w:val="0"/>
                <w:sz w:val="24"/>
                <w:szCs w:val="24"/>
              </w:rPr>
              <w:t>备</w:t>
            </w:r>
            <w:r>
              <w:rPr>
                <w:rStyle w:val="17"/>
                <w:rFonts w:eastAsia="方正黑体_GBK"/>
              </w:rPr>
              <w:t xml:space="preserve">     </w:t>
            </w:r>
            <w:r>
              <w:rPr>
                <w:rFonts w:ascii="Times New Roman" w:hAnsi="Times New Roman" w:eastAsia="方正黑体_GBK" w:cs="Times New Roman"/>
                <w:color w:val="000000"/>
                <w:kern w:val="0"/>
                <w:sz w:val="24"/>
                <w:szCs w:val="24"/>
              </w:rPr>
              <w:t>注</w:t>
            </w:r>
          </w:p>
        </w:tc>
      </w:tr>
      <w:tr>
        <w:tblPrEx>
          <w:tblCellMar>
            <w:top w:w="0" w:type="dxa"/>
            <w:left w:w="0" w:type="dxa"/>
            <w:bottom w:w="0" w:type="dxa"/>
            <w:right w:w="0" w:type="dxa"/>
          </w:tblCellMar>
        </w:tblPrEx>
        <w:trPr>
          <w:trHeight w:val="624" w:hRule="exact"/>
          <w:jc w:val="center"/>
        </w:trPr>
        <w:tc>
          <w:tcPr>
            <w:tcW w:w="11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果</w:t>
            </w:r>
            <w:r>
              <w:rPr>
                <w:rFonts w:hint="eastAsia" w:ascii="Times New Roman" w:hAnsi="Times New Roman" w:eastAsia="方正仿宋_GBK" w:cs="Times New Roman"/>
                <w:color w:val="000000"/>
                <w:kern w:val="0"/>
                <w:sz w:val="24"/>
                <w:szCs w:val="24"/>
              </w:rPr>
              <w:t xml:space="preserve"> </w:t>
            </w:r>
            <w:r>
              <w:rPr>
                <w:rStyle w:val="17"/>
                <w:rFonts w:eastAsia="方正仿宋_GBK"/>
              </w:rPr>
              <w:t xml:space="preserve">  </w:t>
            </w:r>
            <w:r>
              <w:rPr>
                <w:rFonts w:ascii="Times New Roman" w:hAnsi="Times New Roman" w:eastAsia="方正仿宋_GBK" w:cs="Times New Roman"/>
                <w:color w:val="000000"/>
                <w:kern w:val="0"/>
                <w:sz w:val="24"/>
                <w:szCs w:val="24"/>
              </w:rPr>
              <w:t>树</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移栽嫁接苗</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株</w:t>
            </w: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4</w:t>
            </w:r>
          </w:p>
        </w:tc>
        <w:tc>
          <w:tcPr>
            <w:tcW w:w="31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不分树种</w:t>
            </w:r>
            <w:r>
              <w:rPr>
                <w:rStyle w:val="17"/>
                <w:rFonts w:hint="eastAsia" w:eastAsia="方正仿宋_GBK"/>
              </w:rPr>
              <w:t>，</w:t>
            </w:r>
            <w:r>
              <w:rPr>
                <w:rFonts w:ascii="Times New Roman" w:hAnsi="Times New Roman" w:eastAsia="方正仿宋_GBK" w:cs="Times New Roman"/>
                <w:color w:val="000000"/>
                <w:kern w:val="0"/>
                <w:sz w:val="24"/>
                <w:szCs w:val="24"/>
              </w:rPr>
              <w:t>直径以主干离地</w:t>
            </w:r>
            <w:r>
              <w:rPr>
                <w:rStyle w:val="17"/>
                <w:rFonts w:eastAsia="方正仿宋_GBK"/>
              </w:rPr>
              <w:t>1m</w:t>
            </w:r>
            <w:r>
              <w:rPr>
                <w:rFonts w:ascii="Times New Roman" w:hAnsi="Times New Roman" w:eastAsia="方正仿宋_GBK" w:cs="Times New Roman"/>
                <w:color w:val="000000"/>
                <w:kern w:val="0"/>
                <w:sz w:val="24"/>
                <w:szCs w:val="24"/>
              </w:rPr>
              <w:t>处量算</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分叉处不足</w:t>
            </w:r>
            <w:r>
              <w:rPr>
                <w:rStyle w:val="17"/>
                <w:rFonts w:eastAsia="方正仿宋_GBK"/>
              </w:rPr>
              <w:t>1m</w:t>
            </w:r>
            <w:r>
              <w:rPr>
                <w:rFonts w:ascii="Times New Roman" w:hAnsi="Times New Roman" w:eastAsia="方正仿宋_GBK" w:cs="Times New Roman"/>
                <w:color w:val="000000"/>
                <w:kern w:val="0"/>
                <w:sz w:val="24"/>
                <w:szCs w:val="24"/>
              </w:rPr>
              <w:t>的按分叉处主干量算</w:t>
            </w:r>
            <w:r>
              <w:rPr>
                <w:rStyle w:val="17"/>
                <w:rFonts w:hint="eastAsia" w:eastAsia="方正仿宋_GBK"/>
              </w:rPr>
              <w:t>，</w:t>
            </w:r>
            <w:r>
              <w:rPr>
                <w:rFonts w:ascii="Times New Roman" w:hAnsi="Times New Roman" w:eastAsia="方正仿宋_GBK" w:cs="Times New Roman"/>
                <w:color w:val="000000"/>
                <w:kern w:val="0"/>
                <w:sz w:val="24"/>
                <w:szCs w:val="24"/>
              </w:rPr>
              <w:t>直径</w:t>
            </w:r>
            <w:r>
              <w:rPr>
                <w:rStyle w:val="17"/>
                <w:rFonts w:eastAsia="方正仿宋_GBK"/>
              </w:rPr>
              <w:t>16cm</w:t>
            </w:r>
            <w:r>
              <w:rPr>
                <w:rFonts w:ascii="Times New Roman" w:hAnsi="Times New Roman" w:eastAsia="方正仿宋_GBK" w:cs="Times New Roman"/>
                <w:color w:val="000000"/>
                <w:kern w:val="0"/>
                <w:sz w:val="24"/>
                <w:szCs w:val="24"/>
              </w:rPr>
              <w:t>以上</w:t>
            </w:r>
            <w:r>
              <w:rPr>
                <w:rStyle w:val="17"/>
                <w:rFonts w:hint="eastAsia" w:eastAsia="方正仿宋_GBK"/>
              </w:rPr>
              <w:t>，</w:t>
            </w:r>
            <w:r>
              <w:rPr>
                <w:rFonts w:ascii="Times New Roman" w:hAnsi="Times New Roman" w:eastAsia="方正仿宋_GBK" w:cs="Times New Roman"/>
                <w:color w:val="000000"/>
                <w:kern w:val="0"/>
                <w:sz w:val="24"/>
                <w:szCs w:val="24"/>
              </w:rPr>
              <w:t>每增加</w:t>
            </w:r>
            <w:r>
              <w:rPr>
                <w:rStyle w:val="17"/>
                <w:rFonts w:eastAsia="方正仿宋_GBK"/>
              </w:rPr>
              <w:t>2cm</w:t>
            </w:r>
            <w:r>
              <w:rPr>
                <w:rFonts w:ascii="Times New Roman" w:hAnsi="Times New Roman" w:eastAsia="方正仿宋_GBK" w:cs="Times New Roman"/>
                <w:color w:val="000000"/>
                <w:kern w:val="0"/>
                <w:sz w:val="24"/>
                <w:szCs w:val="24"/>
              </w:rPr>
              <w:t>增加补偿</w:t>
            </w:r>
            <w:r>
              <w:rPr>
                <w:rStyle w:val="17"/>
                <w:rFonts w:hint="eastAsia" w:eastAsia="方正仿宋_GBK"/>
              </w:rPr>
              <w:t>25</w:t>
            </w:r>
            <w:r>
              <w:rPr>
                <w:rFonts w:ascii="Times New Roman" w:hAnsi="Times New Roman" w:eastAsia="方正仿宋_GBK" w:cs="Times New Roman"/>
                <w:color w:val="000000"/>
                <w:kern w:val="0"/>
                <w:sz w:val="24"/>
                <w:szCs w:val="24"/>
              </w:rPr>
              <w:t>元</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w:t>
            </w:r>
          </w:p>
        </w:tc>
      </w:tr>
      <w:tr>
        <w:tblPrEx>
          <w:tblCellMar>
            <w:top w:w="0" w:type="dxa"/>
            <w:left w:w="0" w:type="dxa"/>
            <w:bottom w:w="0" w:type="dxa"/>
            <w:right w:w="0" w:type="dxa"/>
          </w:tblCellMar>
        </w:tblPrEx>
        <w:trPr>
          <w:trHeight w:val="624" w:hRule="exact"/>
          <w:jc w:val="center"/>
        </w:trPr>
        <w:tc>
          <w:tcPr>
            <w:tcW w:w="11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2-4cm</w:t>
            </w:r>
            <w:r>
              <w:rPr>
                <w:rStyle w:val="17"/>
                <w:rFonts w:hint="eastAsia" w:eastAsia="宋体"/>
              </w:rPr>
              <w:t>（</w:t>
            </w:r>
            <w:r>
              <w:rPr>
                <w:rFonts w:ascii="Times New Roman" w:hAnsi="Times New Roman" w:eastAsia="方正仿宋_GBK" w:cs="Times New Roman"/>
                <w:color w:val="000000"/>
                <w:kern w:val="0"/>
                <w:sz w:val="24"/>
                <w:szCs w:val="24"/>
              </w:rPr>
              <w:t>含</w:t>
            </w:r>
            <w:r>
              <w:rPr>
                <w:rStyle w:val="17"/>
                <w:rFonts w:eastAsia="宋体"/>
              </w:rPr>
              <w:t>2cm,</w:t>
            </w:r>
            <w:r>
              <w:rPr>
                <w:rFonts w:ascii="Times New Roman" w:hAnsi="Times New Roman" w:eastAsia="方正仿宋_GBK" w:cs="Times New Roman"/>
                <w:color w:val="000000"/>
                <w:kern w:val="0"/>
                <w:sz w:val="24"/>
                <w:szCs w:val="24"/>
              </w:rPr>
              <w:t>不含</w:t>
            </w:r>
            <w:r>
              <w:rPr>
                <w:rStyle w:val="17"/>
                <w:rFonts w:eastAsia="宋体"/>
              </w:rPr>
              <w:t>4cm</w:t>
            </w:r>
            <w:r>
              <w:rPr>
                <w:rStyle w:val="17"/>
                <w:rFonts w:hint="eastAsia" w:eastAsia="宋体"/>
              </w:rPr>
              <w:t>）</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25-40</w:t>
            </w:r>
          </w:p>
        </w:tc>
        <w:tc>
          <w:tcPr>
            <w:tcW w:w="31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24" w:hRule="exact"/>
          <w:jc w:val="center"/>
        </w:trPr>
        <w:tc>
          <w:tcPr>
            <w:tcW w:w="11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4-7cm</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40-45</w:t>
            </w:r>
          </w:p>
        </w:tc>
        <w:tc>
          <w:tcPr>
            <w:tcW w:w="31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24" w:hRule="exact"/>
          <w:jc w:val="center"/>
        </w:trPr>
        <w:tc>
          <w:tcPr>
            <w:tcW w:w="11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7-10cm</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45-90</w:t>
            </w:r>
          </w:p>
        </w:tc>
        <w:tc>
          <w:tcPr>
            <w:tcW w:w="31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24" w:hRule="exact"/>
          <w:jc w:val="center"/>
        </w:trPr>
        <w:tc>
          <w:tcPr>
            <w:tcW w:w="11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10-13cm</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90-155</w:t>
            </w:r>
          </w:p>
        </w:tc>
        <w:tc>
          <w:tcPr>
            <w:tcW w:w="31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24" w:hRule="exact"/>
          <w:jc w:val="center"/>
        </w:trPr>
        <w:tc>
          <w:tcPr>
            <w:tcW w:w="11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13-16cm</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155-215</w:t>
            </w:r>
          </w:p>
        </w:tc>
        <w:tc>
          <w:tcPr>
            <w:tcW w:w="31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24" w:hRule="exact"/>
          <w:jc w:val="center"/>
        </w:trPr>
        <w:tc>
          <w:tcPr>
            <w:tcW w:w="11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香蕉</w:t>
            </w:r>
            <w:r>
              <w:rPr>
                <w:rStyle w:val="17"/>
                <w:rFonts w:hint="eastAsia" w:eastAsia="方正仿宋_GBK"/>
              </w:rPr>
              <w:t>（</w:t>
            </w:r>
            <w:r>
              <w:rPr>
                <w:rFonts w:ascii="Times New Roman" w:hAnsi="Times New Roman" w:eastAsia="方正仿宋_GBK" w:cs="Times New Roman"/>
                <w:color w:val="000000"/>
                <w:kern w:val="0"/>
                <w:sz w:val="24"/>
                <w:szCs w:val="24"/>
              </w:rPr>
              <w:t>芭蕉</w:t>
            </w:r>
            <w:r>
              <w:rPr>
                <w:rStyle w:val="17"/>
                <w:rFonts w:hint="eastAsia" w:eastAsia="方正仿宋_GBK"/>
              </w:rPr>
              <w:t>）</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新栽未结果</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株</w:t>
            </w: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3-4</w:t>
            </w:r>
          </w:p>
        </w:tc>
        <w:tc>
          <w:tcPr>
            <w:tcW w:w="31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eastAsia="宋体" w:cs="Times New Roman"/>
                <w:color w:val="000000"/>
                <w:sz w:val="24"/>
                <w:szCs w:val="24"/>
              </w:rPr>
            </w:pPr>
            <w:r>
              <w:rPr>
                <w:rStyle w:val="17"/>
                <w:rFonts w:eastAsia="宋体"/>
              </w:rPr>
              <w:t>16</w:t>
            </w:r>
            <w:r>
              <w:rPr>
                <w:rFonts w:ascii="Times New Roman" w:hAnsi="Times New Roman" w:eastAsia="方正仿宋_GBK" w:cs="Times New Roman"/>
                <w:color w:val="000000"/>
                <w:kern w:val="0"/>
                <w:sz w:val="24"/>
                <w:szCs w:val="24"/>
              </w:rPr>
              <w:t>株以上的</w:t>
            </w:r>
            <w:r>
              <w:rPr>
                <w:rStyle w:val="17"/>
                <w:rFonts w:hint="eastAsia" w:eastAsia="宋体"/>
              </w:rPr>
              <w:t>，</w:t>
            </w:r>
            <w:r>
              <w:rPr>
                <w:rFonts w:ascii="Times New Roman" w:hAnsi="Times New Roman" w:eastAsia="方正仿宋_GBK" w:cs="Times New Roman"/>
                <w:color w:val="000000"/>
                <w:kern w:val="0"/>
                <w:sz w:val="24"/>
                <w:szCs w:val="24"/>
              </w:rPr>
              <w:t>可酌情合并为相应规格计算。</w:t>
            </w:r>
          </w:p>
        </w:tc>
      </w:tr>
      <w:tr>
        <w:tblPrEx>
          <w:tblCellMar>
            <w:top w:w="0" w:type="dxa"/>
            <w:left w:w="0" w:type="dxa"/>
            <w:bottom w:w="0" w:type="dxa"/>
            <w:right w:w="0" w:type="dxa"/>
          </w:tblCellMar>
        </w:tblPrEx>
        <w:trPr>
          <w:trHeight w:val="624" w:hRule="exact"/>
          <w:jc w:val="center"/>
        </w:trPr>
        <w:tc>
          <w:tcPr>
            <w:tcW w:w="11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宋体" w:cs="Times New Roman"/>
                <w:color w:val="000000"/>
                <w:sz w:val="24"/>
                <w:szCs w:val="24"/>
              </w:rPr>
            </w:pPr>
            <w:r>
              <w:rPr>
                <w:rStyle w:val="17"/>
                <w:rFonts w:eastAsia="宋体"/>
              </w:rPr>
              <w:t>5-10</w:t>
            </w:r>
            <w:r>
              <w:rPr>
                <w:rFonts w:ascii="Times New Roman" w:hAnsi="Times New Roman" w:eastAsia="方正仿宋_GBK" w:cs="Times New Roman"/>
                <w:color w:val="000000"/>
                <w:kern w:val="0"/>
                <w:sz w:val="24"/>
                <w:szCs w:val="24"/>
              </w:rPr>
              <w:t>株</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窝</w:t>
            </w: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36-60</w:t>
            </w:r>
          </w:p>
        </w:tc>
        <w:tc>
          <w:tcPr>
            <w:tcW w:w="31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eastAsia="宋体" w:cs="Times New Roman"/>
                <w:color w:val="000000"/>
                <w:sz w:val="24"/>
                <w:szCs w:val="24"/>
              </w:rPr>
            </w:pPr>
          </w:p>
        </w:tc>
      </w:tr>
      <w:tr>
        <w:tblPrEx>
          <w:tblCellMar>
            <w:top w:w="0" w:type="dxa"/>
            <w:left w:w="0" w:type="dxa"/>
            <w:bottom w:w="0" w:type="dxa"/>
            <w:right w:w="0" w:type="dxa"/>
          </w:tblCellMar>
        </w:tblPrEx>
        <w:trPr>
          <w:trHeight w:val="624" w:hRule="exact"/>
          <w:jc w:val="center"/>
        </w:trPr>
        <w:tc>
          <w:tcPr>
            <w:tcW w:w="11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宋体" w:cs="Times New Roman"/>
                <w:color w:val="000000"/>
                <w:sz w:val="24"/>
                <w:szCs w:val="24"/>
              </w:rPr>
            </w:pPr>
            <w:r>
              <w:rPr>
                <w:rStyle w:val="17"/>
                <w:rFonts w:eastAsia="宋体"/>
              </w:rPr>
              <w:t>11-15</w:t>
            </w:r>
            <w:r>
              <w:rPr>
                <w:rFonts w:ascii="Times New Roman" w:hAnsi="Times New Roman" w:eastAsia="方正仿宋_GBK" w:cs="Times New Roman"/>
                <w:color w:val="000000"/>
                <w:kern w:val="0"/>
                <w:sz w:val="24"/>
                <w:szCs w:val="24"/>
              </w:rPr>
              <w:t>株</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60-80</w:t>
            </w:r>
          </w:p>
        </w:tc>
        <w:tc>
          <w:tcPr>
            <w:tcW w:w="31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eastAsia="宋体" w:cs="Times New Roman"/>
                <w:color w:val="000000"/>
                <w:sz w:val="24"/>
                <w:szCs w:val="24"/>
              </w:rPr>
            </w:pPr>
          </w:p>
        </w:tc>
      </w:tr>
      <w:tr>
        <w:tblPrEx>
          <w:tblCellMar>
            <w:top w:w="0" w:type="dxa"/>
            <w:left w:w="0" w:type="dxa"/>
            <w:bottom w:w="0" w:type="dxa"/>
            <w:right w:w="0" w:type="dxa"/>
          </w:tblCellMar>
        </w:tblPrEx>
        <w:trPr>
          <w:trHeight w:val="624" w:hRule="exact"/>
          <w:jc w:val="center"/>
        </w:trPr>
        <w:tc>
          <w:tcPr>
            <w:tcW w:w="11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葡</w:t>
            </w:r>
            <w:r>
              <w:rPr>
                <w:rStyle w:val="17"/>
                <w:rFonts w:eastAsia="方正仿宋_GBK"/>
              </w:rPr>
              <w:t xml:space="preserve">   </w:t>
            </w:r>
            <w:r>
              <w:rPr>
                <w:rFonts w:ascii="Times New Roman" w:hAnsi="Times New Roman" w:eastAsia="方正仿宋_GBK" w:cs="Times New Roman"/>
                <w:color w:val="000000"/>
                <w:kern w:val="0"/>
                <w:sz w:val="24"/>
                <w:szCs w:val="24"/>
              </w:rPr>
              <w:t>萄</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新移栽苗</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株</w:t>
            </w: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2-3</w:t>
            </w:r>
          </w:p>
        </w:tc>
        <w:tc>
          <w:tcPr>
            <w:tcW w:w="31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直径在</w:t>
            </w:r>
            <w:r>
              <w:rPr>
                <w:rStyle w:val="17"/>
                <w:rFonts w:eastAsia="方正仿宋_GBK"/>
              </w:rPr>
              <w:t>4cm</w:t>
            </w:r>
            <w:r>
              <w:rPr>
                <w:rFonts w:ascii="Times New Roman" w:hAnsi="Times New Roman" w:eastAsia="方正仿宋_GBK" w:cs="Times New Roman"/>
                <w:color w:val="000000"/>
                <w:kern w:val="0"/>
                <w:sz w:val="24"/>
                <w:szCs w:val="24"/>
              </w:rPr>
              <w:t>以上的</w:t>
            </w:r>
            <w:r>
              <w:rPr>
                <w:rStyle w:val="17"/>
                <w:rFonts w:hint="eastAsia" w:eastAsia="方正仿宋_GBK"/>
              </w:rPr>
              <w:t>，</w:t>
            </w:r>
            <w:r>
              <w:rPr>
                <w:rFonts w:ascii="Times New Roman" w:hAnsi="Times New Roman" w:eastAsia="方正仿宋_GBK" w:cs="Times New Roman"/>
                <w:color w:val="000000"/>
                <w:kern w:val="0"/>
                <w:sz w:val="24"/>
                <w:szCs w:val="24"/>
              </w:rPr>
              <w:t>每增加</w:t>
            </w:r>
            <w:r>
              <w:rPr>
                <w:rStyle w:val="17"/>
                <w:rFonts w:eastAsia="方正仿宋_GBK"/>
              </w:rPr>
              <w:t>1cm</w:t>
            </w:r>
            <w:r>
              <w:rPr>
                <w:rStyle w:val="17"/>
                <w:rFonts w:hint="eastAsia" w:eastAsia="方正仿宋_GBK"/>
              </w:rPr>
              <w:t>，</w:t>
            </w:r>
            <w:r>
              <w:rPr>
                <w:rFonts w:ascii="Times New Roman" w:hAnsi="Times New Roman" w:eastAsia="方正仿宋_GBK" w:cs="Times New Roman"/>
                <w:color w:val="000000"/>
                <w:kern w:val="0"/>
                <w:sz w:val="24"/>
                <w:szCs w:val="24"/>
              </w:rPr>
              <w:t>增加补偿</w:t>
            </w:r>
            <w:r>
              <w:rPr>
                <w:rStyle w:val="17"/>
                <w:rFonts w:hint="eastAsia" w:eastAsia="方正仿宋_GBK"/>
              </w:rPr>
              <w:t>15</w:t>
            </w:r>
            <w:r>
              <w:rPr>
                <w:rFonts w:ascii="Times New Roman" w:hAnsi="Times New Roman" w:eastAsia="方正仿宋_GBK" w:cs="Times New Roman"/>
                <w:color w:val="000000"/>
                <w:kern w:val="0"/>
                <w:sz w:val="24"/>
                <w:szCs w:val="24"/>
              </w:rPr>
              <w:t>元。</w:t>
            </w:r>
          </w:p>
        </w:tc>
      </w:tr>
      <w:tr>
        <w:tblPrEx>
          <w:tblCellMar>
            <w:top w:w="0" w:type="dxa"/>
            <w:left w:w="0" w:type="dxa"/>
            <w:bottom w:w="0" w:type="dxa"/>
            <w:right w:w="0" w:type="dxa"/>
          </w:tblCellMar>
        </w:tblPrEx>
        <w:trPr>
          <w:trHeight w:val="624" w:hRule="exact"/>
          <w:jc w:val="center"/>
        </w:trPr>
        <w:tc>
          <w:tcPr>
            <w:tcW w:w="11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1-2cm</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10-12</w:t>
            </w:r>
          </w:p>
        </w:tc>
        <w:tc>
          <w:tcPr>
            <w:tcW w:w="31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24" w:hRule="exact"/>
          <w:jc w:val="center"/>
        </w:trPr>
        <w:tc>
          <w:tcPr>
            <w:tcW w:w="11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2-3cm</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12-20</w:t>
            </w:r>
          </w:p>
        </w:tc>
        <w:tc>
          <w:tcPr>
            <w:tcW w:w="31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24" w:hRule="exact"/>
          <w:jc w:val="center"/>
        </w:trPr>
        <w:tc>
          <w:tcPr>
            <w:tcW w:w="11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3-4cm</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20-40</w:t>
            </w:r>
          </w:p>
        </w:tc>
        <w:tc>
          <w:tcPr>
            <w:tcW w:w="31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24" w:hRule="exact"/>
          <w:jc w:val="center"/>
        </w:trPr>
        <w:tc>
          <w:tcPr>
            <w:tcW w:w="11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桑</w:t>
            </w:r>
            <w:r>
              <w:rPr>
                <w:rStyle w:val="17"/>
                <w:rFonts w:eastAsia="方正仿宋_GBK"/>
              </w:rPr>
              <w:t xml:space="preserve">   </w:t>
            </w:r>
            <w:r>
              <w:rPr>
                <w:rFonts w:ascii="Times New Roman" w:hAnsi="Times New Roman" w:eastAsia="方正仿宋_GBK" w:cs="Times New Roman"/>
                <w:color w:val="000000"/>
                <w:kern w:val="0"/>
                <w:sz w:val="24"/>
                <w:szCs w:val="24"/>
              </w:rPr>
              <w:t>树</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2cm</w:t>
            </w:r>
            <w:r>
              <w:rPr>
                <w:rFonts w:ascii="Times New Roman" w:hAnsi="Times New Roman" w:eastAsia="方正仿宋_GBK" w:cs="Times New Roman"/>
                <w:color w:val="000000"/>
                <w:kern w:val="0"/>
                <w:sz w:val="24"/>
                <w:szCs w:val="24"/>
              </w:rPr>
              <w:t>以下</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株</w:t>
            </w: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4-6</w:t>
            </w:r>
          </w:p>
        </w:tc>
        <w:tc>
          <w:tcPr>
            <w:tcW w:w="31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10cm</w:t>
            </w:r>
            <w:r>
              <w:rPr>
                <w:rFonts w:ascii="Times New Roman" w:hAnsi="Times New Roman" w:eastAsia="方正仿宋_GBK" w:cs="Times New Roman"/>
                <w:color w:val="000000"/>
                <w:kern w:val="0"/>
                <w:sz w:val="24"/>
                <w:szCs w:val="24"/>
              </w:rPr>
              <w:t>以上每增加</w:t>
            </w:r>
            <w:r>
              <w:rPr>
                <w:rStyle w:val="17"/>
                <w:rFonts w:eastAsia="方正仿宋_GBK"/>
              </w:rPr>
              <w:t>1cm</w:t>
            </w:r>
            <w:r>
              <w:rPr>
                <w:rFonts w:ascii="Times New Roman" w:hAnsi="Times New Roman" w:eastAsia="方正仿宋_GBK" w:cs="Times New Roman"/>
                <w:color w:val="000000"/>
                <w:kern w:val="0"/>
                <w:sz w:val="24"/>
                <w:szCs w:val="24"/>
              </w:rPr>
              <w:t>增加补偿</w:t>
            </w:r>
            <w:r>
              <w:rPr>
                <w:rStyle w:val="17"/>
                <w:rFonts w:hint="eastAsia" w:eastAsia="方正仿宋_GBK"/>
              </w:rPr>
              <w:t>10</w:t>
            </w:r>
            <w:r>
              <w:rPr>
                <w:rFonts w:ascii="Times New Roman" w:hAnsi="Times New Roman" w:eastAsia="方正仿宋_GBK" w:cs="Times New Roman"/>
                <w:color w:val="000000"/>
                <w:kern w:val="0"/>
                <w:sz w:val="24"/>
                <w:szCs w:val="24"/>
              </w:rPr>
              <w:t>元。</w:t>
            </w:r>
          </w:p>
        </w:tc>
      </w:tr>
      <w:tr>
        <w:tblPrEx>
          <w:tblCellMar>
            <w:top w:w="0" w:type="dxa"/>
            <w:left w:w="0" w:type="dxa"/>
            <w:bottom w:w="0" w:type="dxa"/>
            <w:right w:w="0" w:type="dxa"/>
          </w:tblCellMar>
        </w:tblPrEx>
        <w:trPr>
          <w:trHeight w:val="624" w:hRule="exact"/>
          <w:jc w:val="center"/>
        </w:trPr>
        <w:tc>
          <w:tcPr>
            <w:tcW w:w="11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2-5cm</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6-10</w:t>
            </w:r>
          </w:p>
        </w:tc>
        <w:tc>
          <w:tcPr>
            <w:tcW w:w="31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24" w:hRule="exact"/>
          <w:jc w:val="center"/>
        </w:trPr>
        <w:tc>
          <w:tcPr>
            <w:tcW w:w="11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5-8cm</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10-20</w:t>
            </w:r>
          </w:p>
        </w:tc>
        <w:tc>
          <w:tcPr>
            <w:tcW w:w="31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24" w:hRule="exact"/>
          <w:jc w:val="center"/>
        </w:trPr>
        <w:tc>
          <w:tcPr>
            <w:tcW w:w="11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8-10cm</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20-40</w:t>
            </w:r>
          </w:p>
        </w:tc>
        <w:tc>
          <w:tcPr>
            <w:tcW w:w="31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24" w:hRule="exact"/>
          <w:jc w:val="center"/>
        </w:trPr>
        <w:tc>
          <w:tcPr>
            <w:tcW w:w="11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杂</w:t>
            </w:r>
            <w:r>
              <w:rPr>
                <w:rStyle w:val="17"/>
                <w:rFonts w:eastAsia="方正仿宋_GBK"/>
              </w:rPr>
              <w:t xml:space="preserve">   </w:t>
            </w:r>
            <w:r>
              <w:rPr>
                <w:rFonts w:ascii="Times New Roman" w:hAnsi="Times New Roman" w:eastAsia="方正仿宋_GBK" w:cs="Times New Roman"/>
                <w:color w:val="000000"/>
                <w:kern w:val="0"/>
                <w:sz w:val="24"/>
                <w:szCs w:val="24"/>
              </w:rPr>
              <w:t>树</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3cm</w:t>
            </w:r>
            <w:r>
              <w:rPr>
                <w:rFonts w:ascii="Times New Roman" w:hAnsi="Times New Roman" w:eastAsia="方正仿宋_GBK" w:cs="Times New Roman"/>
                <w:color w:val="000000"/>
                <w:kern w:val="0"/>
                <w:sz w:val="24"/>
                <w:szCs w:val="24"/>
              </w:rPr>
              <w:t>以下</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株</w:t>
            </w: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4-6</w:t>
            </w:r>
          </w:p>
        </w:tc>
        <w:tc>
          <w:tcPr>
            <w:tcW w:w="31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以主干离地</w:t>
            </w:r>
            <w:r>
              <w:rPr>
                <w:rStyle w:val="17"/>
                <w:rFonts w:eastAsia="方正仿宋_GBK"/>
              </w:rPr>
              <w:t>1.2m</w:t>
            </w:r>
            <w:r>
              <w:rPr>
                <w:rFonts w:ascii="Times New Roman" w:hAnsi="Times New Roman" w:eastAsia="方正仿宋_GBK" w:cs="Times New Roman"/>
                <w:color w:val="000000"/>
                <w:kern w:val="0"/>
                <w:sz w:val="24"/>
                <w:szCs w:val="24"/>
              </w:rPr>
              <w:t>处为准</w:t>
            </w:r>
            <w:r>
              <w:rPr>
                <w:rStyle w:val="17"/>
                <w:rFonts w:hint="eastAsia" w:eastAsia="方正仿宋_GBK"/>
              </w:rPr>
              <w:t>，</w:t>
            </w:r>
            <w:r>
              <w:rPr>
                <w:rFonts w:ascii="Times New Roman" w:hAnsi="Times New Roman" w:eastAsia="方正仿宋_GBK" w:cs="Times New Roman"/>
                <w:color w:val="000000"/>
                <w:kern w:val="0"/>
                <w:sz w:val="24"/>
                <w:szCs w:val="24"/>
              </w:rPr>
              <w:t>直径</w:t>
            </w:r>
            <w:r>
              <w:rPr>
                <w:rStyle w:val="17"/>
                <w:rFonts w:eastAsia="方正仿宋_GBK"/>
              </w:rPr>
              <w:t>20cm</w:t>
            </w:r>
            <w:r>
              <w:rPr>
                <w:rFonts w:ascii="Times New Roman" w:hAnsi="Times New Roman" w:eastAsia="方正仿宋_GBK" w:cs="Times New Roman"/>
                <w:color w:val="000000"/>
                <w:kern w:val="0"/>
                <w:sz w:val="24"/>
                <w:szCs w:val="24"/>
              </w:rPr>
              <w:t>以上每增加</w:t>
            </w:r>
            <w:r>
              <w:rPr>
                <w:rStyle w:val="17"/>
                <w:rFonts w:eastAsia="方正仿宋_GBK"/>
              </w:rPr>
              <w:t>1cm</w:t>
            </w:r>
            <w:r>
              <w:rPr>
                <w:rFonts w:ascii="Times New Roman" w:hAnsi="Times New Roman" w:eastAsia="方正仿宋_GBK" w:cs="Times New Roman"/>
                <w:color w:val="000000"/>
                <w:kern w:val="0"/>
                <w:sz w:val="24"/>
                <w:szCs w:val="24"/>
              </w:rPr>
              <w:t>增加补偿</w:t>
            </w:r>
            <w:r>
              <w:rPr>
                <w:rStyle w:val="17"/>
                <w:rFonts w:hint="eastAsia" w:eastAsia="方正仿宋_GBK"/>
              </w:rPr>
              <w:t>10</w:t>
            </w:r>
            <w:r>
              <w:rPr>
                <w:rFonts w:ascii="Times New Roman" w:hAnsi="Times New Roman" w:eastAsia="方正仿宋_GBK" w:cs="Times New Roman"/>
                <w:color w:val="000000"/>
                <w:kern w:val="0"/>
                <w:sz w:val="24"/>
                <w:szCs w:val="24"/>
              </w:rPr>
              <w:t>元。</w:t>
            </w:r>
          </w:p>
        </w:tc>
      </w:tr>
      <w:tr>
        <w:tblPrEx>
          <w:tblCellMar>
            <w:top w:w="0" w:type="dxa"/>
            <w:left w:w="0" w:type="dxa"/>
            <w:bottom w:w="0" w:type="dxa"/>
            <w:right w:w="0" w:type="dxa"/>
          </w:tblCellMar>
        </w:tblPrEx>
        <w:trPr>
          <w:trHeight w:val="624" w:hRule="exact"/>
          <w:jc w:val="center"/>
        </w:trPr>
        <w:tc>
          <w:tcPr>
            <w:tcW w:w="11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3-5cm</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6-10</w:t>
            </w:r>
          </w:p>
        </w:tc>
        <w:tc>
          <w:tcPr>
            <w:tcW w:w="31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24" w:hRule="exact"/>
          <w:jc w:val="center"/>
        </w:trPr>
        <w:tc>
          <w:tcPr>
            <w:tcW w:w="11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5-10cm</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12</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16</w:t>
            </w:r>
          </w:p>
        </w:tc>
        <w:tc>
          <w:tcPr>
            <w:tcW w:w="31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24" w:hRule="exact"/>
          <w:jc w:val="center"/>
        </w:trPr>
        <w:tc>
          <w:tcPr>
            <w:tcW w:w="11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10-15cm</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20-30</w:t>
            </w:r>
          </w:p>
        </w:tc>
        <w:tc>
          <w:tcPr>
            <w:tcW w:w="31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24" w:hRule="exact"/>
          <w:jc w:val="center"/>
        </w:trPr>
        <w:tc>
          <w:tcPr>
            <w:tcW w:w="11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15-20cm</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40-50</w:t>
            </w:r>
          </w:p>
        </w:tc>
        <w:tc>
          <w:tcPr>
            <w:tcW w:w="31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24" w:hRule="exact"/>
          <w:jc w:val="center"/>
        </w:trPr>
        <w:tc>
          <w:tcPr>
            <w:tcW w:w="11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干果树</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2cm</w:t>
            </w:r>
            <w:r>
              <w:rPr>
                <w:rFonts w:ascii="Times New Roman" w:hAnsi="Times New Roman" w:eastAsia="方正仿宋_GBK" w:cs="Times New Roman"/>
                <w:color w:val="000000"/>
                <w:kern w:val="0"/>
                <w:sz w:val="24"/>
                <w:szCs w:val="24"/>
              </w:rPr>
              <w:t>以下</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株</w:t>
            </w: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4</w:t>
            </w:r>
          </w:p>
        </w:tc>
        <w:tc>
          <w:tcPr>
            <w:tcW w:w="31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包括核桃、</w:t>
            </w:r>
            <w:r>
              <w:rPr>
                <w:rFonts w:hint="eastAsia" w:eastAsia="方正仿宋_GBK" w:cs="Times New Roman"/>
                <w:color w:val="000000"/>
                <w:kern w:val="0"/>
                <w:sz w:val="24"/>
                <w:szCs w:val="24"/>
                <w:lang w:eastAsia="zh-CN"/>
              </w:rPr>
              <w:t>板栗</w:t>
            </w:r>
            <w:bookmarkStart w:id="0" w:name="_GoBack"/>
            <w:bookmarkEnd w:id="0"/>
            <w:r>
              <w:rPr>
                <w:rFonts w:ascii="Times New Roman" w:hAnsi="Times New Roman" w:eastAsia="方正仿宋_GBK" w:cs="Times New Roman"/>
                <w:color w:val="000000"/>
                <w:kern w:val="0"/>
                <w:sz w:val="24"/>
                <w:szCs w:val="24"/>
              </w:rPr>
              <w:t>、棕树、油橄榄、皂角等</w:t>
            </w:r>
            <w:r>
              <w:rPr>
                <w:rStyle w:val="17"/>
                <w:rFonts w:hint="eastAsia" w:eastAsia="方正仿宋_GBK"/>
              </w:rPr>
              <w:t>，</w:t>
            </w:r>
            <w:r>
              <w:rPr>
                <w:rFonts w:ascii="Times New Roman" w:hAnsi="Times New Roman" w:eastAsia="方正仿宋_GBK" w:cs="Times New Roman"/>
                <w:color w:val="000000"/>
                <w:kern w:val="0"/>
                <w:sz w:val="24"/>
                <w:szCs w:val="24"/>
              </w:rPr>
              <w:t>直径</w:t>
            </w:r>
            <w:r>
              <w:rPr>
                <w:rStyle w:val="17"/>
                <w:rFonts w:eastAsia="方正仿宋_GBK"/>
              </w:rPr>
              <w:t>16cm</w:t>
            </w:r>
            <w:r>
              <w:rPr>
                <w:rFonts w:ascii="Times New Roman" w:hAnsi="Times New Roman" w:eastAsia="方正仿宋_GBK" w:cs="Times New Roman"/>
                <w:color w:val="000000"/>
                <w:kern w:val="0"/>
                <w:sz w:val="24"/>
                <w:szCs w:val="24"/>
              </w:rPr>
              <w:t>以上每增加</w:t>
            </w:r>
            <w:r>
              <w:rPr>
                <w:rStyle w:val="17"/>
                <w:rFonts w:eastAsia="方正仿宋_GBK"/>
              </w:rPr>
              <w:t>1cm</w:t>
            </w:r>
            <w:r>
              <w:rPr>
                <w:rFonts w:ascii="Times New Roman" w:hAnsi="Times New Roman" w:eastAsia="方正仿宋_GBK" w:cs="Times New Roman"/>
                <w:color w:val="000000"/>
                <w:kern w:val="0"/>
                <w:sz w:val="24"/>
                <w:szCs w:val="24"/>
              </w:rPr>
              <w:t>增加补偿</w:t>
            </w:r>
            <w:r>
              <w:rPr>
                <w:rStyle w:val="17"/>
                <w:rFonts w:hint="eastAsia" w:eastAsia="方正仿宋_GBK"/>
              </w:rPr>
              <w:t>15</w:t>
            </w:r>
            <w:r>
              <w:rPr>
                <w:rFonts w:ascii="Times New Roman" w:hAnsi="Times New Roman" w:eastAsia="方正仿宋_GBK" w:cs="Times New Roman"/>
                <w:color w:val="000000"/>
                <w:kern w:val="0"/>
                <w:sz w:val="24"/>
                <w:szCs w:val="24"/>
              </w:rPr>
              <w:t>元。</w:t>
            </w:r>
          </w:p>
        </w:tc>
      </w:tr>
      <w:tr>
        <w:tblPrEx>
          <w:tblCellMar>
            <w:top w:w="0" w:type="dxa"/>
            <w:left w:w="0" w:type="dxa"/>
            <w:bottom w:w="0" w:type="dxa"/>
            <w:right w:w="0" w:type="dxa"/>
          </w:tblCellMar>
        </w:tblPrEx>
        <w:trPr>
          <w:trHeight w:val="624" w:hRule="exact"/>
          <w:jc w:val="center"/>
        </w:trPr>
        <w:tc>
          <w:tcPr>
            <w:tcW w:w="11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2-4cm</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13-25</w:t>
            </w:r>
          </w:p>
        </w:tc>
        <w:tc>
          <w:tcPr>
            <w:tcW w:w="31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24" w:hRule="exact"/>
          <w:jc w:val="center"/>
        </w:trPr>
        <w:tc>
          <w:tcPr>
            <w:tcW w:w="11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5-7cm</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25-42</w:t>
            </w:r>
          </w:p>
        </w:tc>
        <w:tc>
          <w:tcPr>
            <w:tcW w:w="31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24" w:hRule="exact"/>
          <w:jc w:val="center"/>
        </w:trPr>
        <w:tc>
          <w:tcPr>
            <w:tcW w:w="11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8-11cm</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45-72</w:t>
            </w:r>
          </w:p>
        </w:tc>
        <w:tc>
          <w:tcPr>
            <w:tcW w:w="31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24" w:hRule="exact"/>
          <w:jc w:val="center"/>
        </w:trPr>
        <w:tc>
          <w:tcPr>
            <w:tcW w:w="11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12-15m</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77-115</w:t>
            </w:r>
          </w:p>
        </w:tc>
        <w:tc>
          <w:tcPr>
            <w:tcW w:w="31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24" w:hRule="exact"/>
          <w:jc w:val="center"/>
        </w:trPr>
        <w:tc>
          <w:tcPr>
            <w:tcW w:w="11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花</w:t>
            </w:r>
            <w:r>
              <w:rPr>
                <w:rStyle w:val="17"/>
                <w:rFonts w:eastAsia="方正仿宋_GBK"/>
              </w:rPr>
              <w:t xml:space="preserve">   </w:t>
            </w:r>
            <w:r>
              <w:rPr>
                <w:rFonts w:ascii="Times New Roman" w:hAnsi="Times New Roman" w:eastAsia="方正仿宋_GBK" w:cs="Times New Roman"/>
                <w:color w:val="000000"/>
                <w:kern w:val="0"/>
                <w:sz w:val="24"/>
                <w:szCs w:val="24"/>
              </w:rPr>
              <w:t>椒</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2cm</w:t>
            </w:r>
            <w:r>
              <w:rPr>
                <w:rFonts w:ascii="Times New Roman" w:hAnsi="Times New Roman" w:eastAsia="方正仿宋_GBK" w:cs="Times New Roman"/>
                <w:color w:val="000000"/>
                <w:kern w:val="0"/>
                <w:sz w:val="24"/>
                <w:szCs w:val="24"/>
              </w:rPr>
              <w:t>以下</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窝</w:t>
            </w: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5-10</w:t>
            </w:r>
          </w:p>
        </w:tc>
        <w:tc>
          <w:tcPr>
            <w:tcW w:w="31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eastAsia="宋体" w:cs="Times New Roman"/>
                <w:color w:val="000000"/>
                <w:sz w:val="24"/>
                <w:szCs w:val="24"/>
              </w:rPr>
            </w:pPr>
            <w:r>
              <w:rPr>
                <w:rStyle w:val="17"/>
                <w:rFonts w:eastAsia="宋体"/>
              </w:rPr>
              <w:t>20</w:t>
            </w:r>
            <w:r>
              <w:rPr>
                <w:rFonts w:ascii="Times New Roman" w:hAnsi="Times New Roman" w:eastAsia="方正仿宋_GBK" w:cs="Times New Roman"/>
                <w:color w:val="000000"/>
                <w:kern w:val="0"/>
                <w:sz w:val="24"/>
                <w:szCs w:val="24"/>
              </w:rPr>
              <w:t>根以下</w:t>
            </w:r>
            <w:r>
              <w:rPr>
                <w:rStyle w:val="17"/>
                <w:rFonts w:eastAsia="宋体"/>
              </w:rPr>
              <w:t>50</w:t>
            </w:r>
            <w:r>
              <w:rPr>
                <w:rFonts w:ascii="Times New Roman" w:hAnsi="Times New Roman" w:eastAsia="方正仿宋_GBK" w:cs="Times New Roman"/>
                <w:color w:val="000000"/>
                <w:kern w:val="0"/>
                <w:sz w:val="24"/>
                <w:szCs w:val="24"/>
              </w:rPr>
              <w:t>根以上可酌情合并为相应规格计算，直径</w:t>
            </w:r>
            <w:r>
              <w:rPr>
                <w:rStyle w:val="17"/>
                <w:rFonts w:eastAsia="宋体"/>
              </w:rPr>
              <w:t>5cm</w:t>
            </w:r>
            <w:r>
              <w:rPr>
                <w:rFonts w:ascii="Times New Roman" w:hAnsi="Times New Roman" w:eastAsia="方正仿宋_GBK" w:cs="Times New Roman"/>
                <w:color w:val="000000"/>
                <w:kern w:val="0"/>
                <w:sz w:val="24"/>
                <w:szCs w:val="24"/>
              </w:rPr>
              <w:t>以上每增加</w:t>
            </w:r>
            <w:r>
              <w:rPr>
                <w:rStyle w:val="17"/>
                <w:rFonts w:eastAsia="宋体"/>
              </w:rPr>
              <w:t>1cm</w:t>
            </w:r>
            <w:r>
              <w:rPr>
                <w:rFonts w:ascii="Times New Roman" w:hAnsi="Times New Roman" w:eastAsia="方正仿宋_GBK" w:cs="Times New Roman"/>
                <w:color w:val="000000"/>
                <w:kern w:val="0"/>
                <w:sz w:val="24"/>
                <w:szCs w:val="24"/>
              </w:rPr>
              <w:t>增加补偿</w:t>
            </w:r>
            <w:r>
              <w:rPr>
                <w:rStyle w:val="17"/>
                <w:rFonts w:hint="eastAsia" w:eastAsia="宋体"/>
              </w:rPr>
              <w:t>10</w:t>
            </w:r>
            <w:r>
              <w:rPr>
                <w:rFonts w:ascii="Times New Roman" w:hAnsi="Times New Roman" w:eastAsia="方正仿宋_GBK" w:cs="Times New Roman"/>
                <w:color w:val="000000"/>
                <w:kern w:val="0"/>
                <w:sz w:val="24"/>
                <w:szCs w:val="24"/>
              </w:rPr>
              <w:t>元。</w:t>
            </w:r>
          </w:p>
        </w:tc>
      </w:tr>
      <w:tr>
        <w:tblPrEx>
          <w:tblCellMar>
            <w:top w:w="0" w:type="dxa"/>
            <w:left w:w="0" w:type="dxa"/>
            <w:bottom w:w="0" w:type="dxa"/>
            <w:right w:w="0" w:type="dxa"/>
          </w:tblCellMar>
        </w:tblPrEx>
        <w:trPr>
          <w:trHeight w:val="624" w:hRule="exact"/>
          <w:jc w:val="center"/>
        </w:trPr>
        <w:tc>
          <w:tcPr>
            <w:tcW w:w="11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2-5cm</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12-17</w:t>
            </w:r>
          </w:p>
        </w:tc>
        <w:tc>
          <w:tcPr>
            <w:tcW w:w="31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eastAsia="宋体" w:cs="Times New Roman"/>
                <w:color w:val="000000"/>
                <w:sz w:val="24"/>
                <w:szCs w:val="24"/>
              </w:rPr>
            </w:pPr>
          </w:p>
        </w:tc>
      </w:tr>
      <w:tr>
        <w:tblPrEx>
          <w:tblCellMar>
            <w:top w:w="0" w:type="dxa"/>
            <w:left w:w="0" w:type="dxa"/>
            <w:bottom w:w="0" w:type="dxa"/>
            <w:right w:w="0" w:type="dxa"/>
          </w:tblCellMar>
        </w:tblPrEx>
        <w:trPr>
          <w:trHeight w:val="624" w:hRule="exact"/>
          <w:jc w:val="center"/>
        </w:trPr>
        <w:tc>
          <w:tcPr>
            <w:tcW w:w="11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5cm</w:t>
            </w:r>
            <w:r>
              <w:rPr>
                <w:rFonts w:ascii="Times New Roman" w:hAnsi="Times New Roman" w:eastAsia="方正仿宋_GBK" w:cs="Times New Roman"/>
                <w:color w:val="000000"/>
                <w:kern w:val="0"/>
                <w:sz w:val="24"/>
                <w:szCs w:val="24"/>
              </w:rPr>
              <w:t>以上</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19-25</w:t>
            </w:r>
          </w:p>
        </w:tc>
        <w:tc>
          <w:tcPr>
            <w:tcW w:w="31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eastAsia="宋体" w:cs="Times New Roman"/>
                <w:color w:val="000000"/>
                <w:sz w:val="24"/>
                <w:szCs w:val="24"/>
              </w:rPr>
            </w:pPr>
          </w:p>
        </w:tc>
      </w:tr>
      <w:tr>
        <w:tblPrEx>
          <w:tblCellMar>
            <w:top w:w="0" w:type="dxa"/>
            <w:left w:w="0" w:type="dxa"/>
            <w:bottom w:w="0" w:type="dxa"/>
            <w:right w:w="0" w:type="dxa"/>
          </w:tblCellMar>
        </w:tblPrEx>
        <w:trPr>
          <w:trHeight w:val="624" w:hRule="exact"/>
          <w:jc w:val="center"/>
        </w:trPr>
        <w:tc>
          <w:tcPr>
            <w:tcW w:w="11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花</w:t>
            </w:r>
            <w:r>
              <w:rPr>
                <w:rStyle w:val="17"/>
                <w:rFonts w:eastAsia="方正仿宋_GBK"/>
              </w:rPr>
              <w:t xml:space="preserve">   </w:t>
            </w:r>
            <w:r>
              <w:rPr>
                <w:rFonts w:ascii="Times New Roman" w:hAnsi="Times New Roman" w:eastAsia="方正仿宋_GBK" w:cs="Times New Roman"/>
                <w:color w:val="000000"/>
                <w:kern w:val="0"/>
                <w:sz w:val="24"/>
                <w:szCs w:val="24"/>
              </w:rPr>
              <w:t>木</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木本花</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株</w:t>
            </w: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2-3</w:t>
            </w:r>
          </w:p>
        </w:tc>
        <w:tc>
          <w:tcPr>
            <w:tcW w:w="31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盆栽花一律不予补偿。</w:t>
            </w:r>
          </w:p>
        </w:tc>
      </w:tr>
      <w:tr>
        <w:tblPrEx>
          <w:tblCellMar>
            <w:top w:w="0" w:type="dxa"/>
            <w:left w:w="0" w:type="dxa"/>
            <w:bottom w:w="0" w:type="dxa"/>
            <w:right w:w="0" w:type="dxa"/>
          </w:tblCellMar>
        </w:tblPrEx>
        <w:trPr>
          <w:trHeight w:val="624" w:hRule="exact"/>
          <w:jc w:val="center"/>
        </w:trPr>
        <w:tc>
          <w:tcPr>
            <w:tcW w:w="11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草本花</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0.7-1</w:t>
            </w:r>
          </w:p>
        </w:tc>
        <w:tc>
          <w:tcPr>
            <w:tcW w:w="31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24" w:hRule="exact"/>
          <w:jc w:val="center"/>
        </w:trPr>
        <w:tc>
          <w:tcPr>
            <w:tcW w:w="11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慈</w:t>
            </w:r>
            <w:r>
              <w:rPr>
                <w:rStyle w:val="17"/>
                <w:rFonts w:eastAsia="方正仿宋_GBK"/>
              </w:rPr>
              <w:t xml:space="preserve">   </w:t>
            </w:r>
            <w:r>
              <w:rPr>
                <w:rFonts w:ascii="Times New Roman" w:hAnsi="Times New Roman" w:eastAsia="方正仿宋_GBK" w:cs="Times New Roman"/>
                <w:color w:val="000000"/>
                <w:kern w:val="0"/>
                <w:sz w:val="24"/>
                <w:szCs w:val="24"/>
              </w:rPr>
              <w:t>竹</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小笼</w:t>
            </w:r>
            <w:r>
              <w:rPr>
                <w:rStyle w:val="17"/>
                <w:rFonts w:eastAsia="方正仿宋_GBK"/>
              </w:rPr>
              <w:t>（20</w:t>
            </w:r>
            <w:r>
              <w:rPr>
                <w:rFonts w:ascii="Times New Roman" w:hAnsi="Times New Roman" w:eastAsia="方正仿宋_GBK" w:cs="Times New Roman"/>
                <w:color w:val="000000"/>
                <w:kern w:val="0"/>
                <w:sz w:val="24"/>
                <w:szCs w:val="24"/>
              </w:rPr>
              <w:t>根以下</w:t>
            </w:r>
            <w:r>
              <w:rPr>
                <w:rStyle w:val="17"/>
                <w:rFonts w:eastAsia="方正仿宋_GBK"/>
              </w:rPr>
              <w:t>）</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笼</w:t>
            </w: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29-65</w:t>
            </w:r>
          </w:p>
        </w:tc>
        <w:tc>
          <w:tcPr>
            <w:tcW w:w="31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eastAsia="宋体" w:cs="Times New Roman"/>
                <w:color w:val="000000"/>
                <w:sz w:val="24"/>
                <w:szCs w:val="24"/>
              </w:rPr>
            </w:pPr>
            <w:r>
              <w:rPr>
                <w:rStyle w:val="17"/>
                <w:rFonts w:eastAsia="宋体"/>
              </w:rPr>
              <w:t>40</w:t>
            </w:r>
            <w:r>
              <w:rPr>
                <w:rFonts w:ascii="Times New Roman" w:hAnsi="Times New Roman" w:eastAsia="方正仿宋_GBK" w:cs="Times New Roman"/>
                <w:color w:val="000000"/>
                <w:kern w:val="0"/>
                <w:sz w:val="24"/>
                <w:szCs w:val="24"/>
              </w:rPr>
              <w:t>根以上的</w:t>
            </w:r>
            <w:r>
              <w:rPr>
                <w:rStyle w:val="17"/>
                <w:rFonts w:hint="eastAsia" w:eastAsia="宋体"/>
              </w:rPr>
              <w:t>，</w:t>
            </w:r>
            <w:r>
              <w:rPr>
                <w:rFonts w:ascii="Times New Roman" w:hAnsi="Times New Roman" w:eastAsia="方正仿宋_GBK" w:cs="Times New Roman"/>
                <w:color w:val="000000"/>
                <w:kern w:val="0"/>
                <w:sz w:val="24"/>
                <w:szCs w:val="24"/>
              </w:rPr>
              <w:t>可酌情合并为相应规格计算。</w:t>
            </w:r>
          </w:p>
        </w:tc>
      </w:tr>
      <w:tr>
        <w:tblPrEx>
          <w:tblCellMar>
            <w:top w:w="0" w:type="dxa"/>
            <w:left w:w="0" w:type="dxa"/>
            <w:bottom w:w="0" w:type="dxa"/>
            <w:right w:w="0" w:type="dxa"/>
          </w:tblCellMar>
        </w:tblPrEx>
        <w:trPr>
          <w:trHeight w:val="624" w:hRule="exact"/>
          <w:jc w:val="center"/>
        </w:trPr>
        <w:tc>
          <w:tcPr>
            <w:tcW w:w="11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大笼</w:t>
            </w:r>
            <w:r>
              <w:rPr>
                <w:rStyle w:val="17"/>
                <w:rFonts w:eastAsia="方正仿宋_GBK"/>
              </w:rPr>
              <w:t>（21-40</w:t>
            </w:r>
            <w:r>
              <w:rPr>
                <w:rFonts w:ascii="Times New Roman" w:hAnsi="Times New Roman" w:eastAsia="方正仿宋_GBK" w:cs="Times New Roman"/>
                <w:color w:val="000000"/>
                <w:kern w:val="0"/>
                <w:sz w:val="24"/>
                <w:szCs w:val="24"/>
              </w:rPr>
              <w:t>根</w:t>
            </w:r>
            <w:r>
              <w:rPr>
                <w:rStyle w:val="17"/>
                <w:rFonts w:eastAsia="方正仿宋_GBK"/>
              </w:rPr>
              <w:t>）</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42-84</w:t>
            </w:r>
          </w:p>
        </w:tc>
        <w:tc>
          <w:tcPr>
            <w:tcW w:w="31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eastAsia="宋体" w:cs="Times New Roman"/>
                <w:color w:val="000000"/>
                <w:sz w:val="24"/>
                <w:szCs w:val="24"/>
              </w:rPr>
            </w:pPr>
          </w:p>
        </w:tc>
      </w:tr>
      <w:tr>
        <w:tblPrEx>
          <w:tblCellMar>
            <w:top w:w="0" w:type="dxa"/>
            <w:left w:w="0" w:type="dxa"/>
            <w:bottom w:w="0" w:type="dxa"/>
            <w:right w:w="0" w:type="dxa"/>
          </w:tblCellMar>
        </w:tblPrEx>
        <w:trPr>
          <w:trHeight w:val="624" w:hRule="exact"/>
          <w:jc w:val="center"/>
        </w:trPr>
        <w:tc>
          <w:tcPr>
            <w:tcW w:w="11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楠</w:t>
            </w:r>
            <w:r>
              <w:rPr>
                <w:rStyle w:val="17"/>
                <w:rFonts w:eastAsia="方正仿宋_GBK"/>
              </w:rPr>
              <w:t xml:space="preserve">   </w:t>
            </w:r>
            <w:r>
              <w:rPr>
                <w:rFonts w:ascii="Times New Roman" w:hAnsi="Times New Roman" w:eastAsia="方正仿宋_GBK" w:cs="Times New Roman"/>
                <w:color w:val="000000"/>
                <w:kern w:val="0"/>
                <w:sz w:val="24"/>
                <w:szCs w:val="24"/>
              </w:rPr>
              <w:t>竹</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5cm</w:t>
            </w:r>
            <w:r>
              <w:rPr>
                <w:rFonts w:ascii="Times New Roman" w:hAnsi="Times New Roman" w:eastAsia="方正仿宋_GBK" w:cs="Times New Roman"/>
                <w:color w:val="000000"/>
                <w:kern w:val="0"/>
                <w:sz w:val="24"/>
                <w:szCs w:val="24"/>
              </w:rPr>
              <w:t>以下</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株</w:t>
            </w: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12-16</w:t>
            </w:r>
          </w:p>
        </w:tc>
        <w:tc>
          <w:tcPr>
            <w:tcW w:w="31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以离地</w:t>
            </w:r>
            <w:r>
              <w:rPr>
                <w:rStyle w:val="17"/>
                <w:rFonts w:eastAsia="方正仿宋_GBK"/>
              </w:rPr>
              <w:t>1.2m</w:t>
            </w:r>
            <w:r>
              <w:rPr>
                <w:rFonts w:ascii="Times New Roman" w:hAnsi="Times New Roman" w:eastAsia="方正仿宋_GBK" w:cs="Times New Roman"/>
                <w:color w:val="000000"/>
                <w:kern w:val="0"/>
                <w:sz w:val="24"/>
                <w:szCs w:val="24"/>
              </w:rPr>
              <w:t>处的直径为准。</w:t>
            </w:r>
            <w:r>
              <w:rPr>
                <w:rStyle w:val="17"/>
                <w:rFonts w:eastAsia="方正仿宋_GBK"/>
              </w:rPr>
              <w:t>2</w:t>
            </w:r>
            <w:r>
              <w:rPr>
                <w:rFonts w:ascii="Times New Roman" w:hAnsi="Times New Roman" w:eastAsia="方正仿宋_GBK" w:cs="Times New Roman"/>
                <w:color w:val="000000"/>
                <w:kern w:val="0"/>
                <w:sz w:val="24"/>
                <w:szCs w:val="24"/>
              </w:rPr>
              <w:t>公分以下的所有竹苗，按每</w:t>
            </w:r>
            <w:r>
              <w:rPr>
                <w:rStyle w:val="17"/>
                <w:rFonts w:eastAsia="方正仿宋_GBK"/>
              </w:rPr>
              <w:t>3</w:t>
            </w:r>
            <w:r>
              <w:rPr>
                <w:rFonts w:ascii="Times New Roman" w:hAnsi="Times New Roman" w:eastAsia="方正仿宋_GBK" w:cs="Times New Roman"/>
                <w:color w:val="000000"/>
                <w:kern w:val="0"/>
                <w:sz w:val="24"/>
                <w:szCs w:val="24"/>
              </w:rPr>
              <w:t>苗为</w:t>
            </w:r>
            <w:r>
              <w:rPr>
                <w:rStyle w:val="17"/>
                <w:rFonts w:eastAsia="方正仿宋_GBK"/>
              </w:rPr>
              <w:t>1</w:t>
            </w:r>
            <w:r>
              <w:rPr>
                <w:rFonts w:ascii="Times New Roman" w:hAnsi="Times New Roman" w:eastAsia="方正仿宋_GBK" w:cs="Times New Roman"/>
                <w:color w:val="000000"/>
                <w:kern w:val="0"/>
                <w:sz w:val="24"/>
                <w:szCs w:val="24"/>
              </w:rPr>
              <w:t>窝，每窝补偿</w:t>
            </w:r>
            <w:r>
              <w:rPr>
                <w:rStyle w:val="17"/>
                <w:rFonts w:hint="eastAsia" w:eastAsia="方正仿宋_GBK"/>
              </w:rPr>
              <w:t>5</w:t>
            </w:r>
            <w:r>
              <w:rPr>
                <w:rStyle w:val="17"/>
                <w:rFonts w:eastAsia="方正仿宋_GBK"/>
              </w:rPr>
              <w:t>-</w:t>
            </w:r>
            <w:r>
              <w:rPr>
                <w:rStyle w:val="17"/>
                <w:rFonts w:hint="eastAsia" w:eastAsia="方正仿宋_GBK"/>
              </w:rPr>
              <w:t>10</w:t>
            </w:r>
            <w:r>
              <w:rPr>
                <w:rFonts w:ascii="Times New Roman" w:hAnsi="Times New Roman" w:eastAsia="方正仿宋_GBK" w:cs="Times New Roman"/>
                <w:color w:val="000000"/>
                <w:kern w:val="0"/>
                <w:sz w:val="24"/>
                <w:szCs w:val="24"/>
              </w:rPr>
              <w:t>元。</w:t>
            </w:r>
          </w:p>
        </w:tc>
      </w:tr>
      <w:tr>
        <w:tblPrEx>
          <w:tblCellMar>
            <w:top w:w="0" w:type="dxa"/>
            <w:left w:w="0" w:type="dxa"/>
            <w:bottom w:w="0" w:type="dxa"/>
            <w:right w:w="0" w:type="dxa"/>
          </w:tblCellMar>
        </w:tblPrEx>
        <w:trPr>
          <w:trHeight w:val="624" w:hRule="exact"/>
          <w:jc w:val="center"/>
        </w:trPr>
        <w:tc>
          <w:tcPr>
            <w:tcW w:w="11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5—10cm</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16-29</w:t>
            </w:r>
          </w:p>
        </w:tc>
        <w:tc>
          <w:tcPr>
            <w:tcW w:w="31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24" w:hRule="exact"/>
          <w:jc w:val="center"/>
        </w:trPr>
        <w:tc>
          <w:tcPr>
            <w:tcW w:w="11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10cm</w:t>
            </w:r>
            <w:r>
              <w:rPr>
                <w:rFonts w:ascii="Times New Roman" w:hAnsi="Times New Roman" w:eastAsia="方正仿宋_GBK" w:cs="Times New Roman"/>
                <w:color w:val="000000"/>
                <w:kern w:val="0"/>
                <w:sz w:val="24"/>
                <w:szCs w:val="24"/>
              </w:rPr>
              <w:t>以上</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31-50</w:t>
            </w:r>
          </w:p>
        </w:tc>
        <w:tc>
          <w:tcPr>
            <w:tcW w:w="31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24" w:hRule="exact"/>
          <w:jc w:val="center"/>
        </w:trPr>
        <w:tc>
          <w:tcPr>
            <w:tcW w:w="11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杂</w:t>
            </w:r>
            <w:r>
              <w:rPr>
                <w:rStyle w:val="17"/>
                <w:rFonts w:eastAsia="方正仿宋_GBK"/>
              </w:rPr>
              <w:t xml:space="preserve">   </w:t>
            </w:r>
            <w:r>
              <w:rPr>
                <w:rFonts w:ascii="Times New Roman" w:hAnsi="Times New Roman" w:eastAsia="方正仿宋_GBK" w:cs="Times New Roman"/>
                <w:color w:val="000000"/>
                <w:kern w:val="0"/>
                <w:sz w:val="24"/>
                <w:szCs w:val="24"/>
              </w:rPr>
              <w:t>竹</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小窝</w:t>
            </w:r>
            <w:r>
              <w:rPr>
                <w:rStyle w:val="17"/>
                <w:rFonts w:eastAsia="方正仿宋_GBK"/>
              </w:rPr>
              <w:t>（20-30</w:t>
            </w:r>
            <w:r>
              <w:rPr>
                <w:rFonts w:ascii="Times New Roman" w:hAnsi="Times New Roman" w:eastAsia="方正仿宋_GBK" w:cs="Times New Roman"/>
                <w:color w:val="000000"/>
                <w:kern w:val="0"/>
                <w:sz w:val="24"/>
                <w:szCs w:val="24"/>
              </w:rPr>
              <w:t>根</w:t>
            </w:r>
            <w:r>
              <w:rPr>
                <w:rStyle w:val="17"/>
                <w:rFonts w:eastAsia="方正仿宋_GBK"/>
              </w:rPr>
              <w:t>）</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窝</w:t>
            </w:r>
            <w:r>
              <w:rPr>
                <w:rStyle w:val="17"/>
                <w:rFonts w:eastAsia="方正仿宋_GBK"/>
              </w:rPr>
              <w:t xml:space="preserve"> </w:t>
            </w: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12-19</w:t>
            </w:r>
          </w:p>
        </w:tc>
        <w:tc>
          <w:tcPr>
            <w:tcW w:w="31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eastAsia="宋体" w:cs="Times New Roman"/>
                <w:color w:val="000000"/>
                <w:sz w:val="24"/>
                <w:szCs w:val="24"/>
              </w:rPr>
            </w:pPr>
            <w:r>
              <w:rPr>
                <w:rStyle w:val="17"/>
                <w:rFonts w:eastAsia="宋体"/>
              </w:rPr>
              <w:t>20</w:t>
            </w:r>
            <w:r>
              <w:rPr>
                <w:rFonts w:ascii="Times New Roman" w:hAnsi="Times New Roman" w:eastAsia="方正仿宋_GBK" w:cs="Times New Roman"/>
                <w:color w:val="000000"/>
                <w:kern w:val="0"/>
                <w:sz w:val="24"/>
                <w:szCs w:val="24"/>
              </w:rPr>
              <w:t>根以下</w:t>
            </w:r>
            <w:r>
              <w:rPr>
                <w:rFonts w:hint="eastAsia" w:ascii="Times New Roman" w:hAnsi="Times New Roman" w:eastAsia="方正仿宋_GBK" w:cs="Times New Roman"/>
                <w:color w:val="000000"/>
                <w:kern w:val="0"/>
                <w:sz w:val="24"/>
                <w:szCs w:val="24"/>
              </w:rPr>
              <w:t>，</w:t>
            </w:r>
            <w:r>
              <w:rPr>
                <w:rStyle w:val="17"/>
                <w:rFonts w:eastAsia="宋体"/>
              </w:rPr>
              <w:t>50</w:t>
            </w:r>
            <w:r>
              <w:rPr>
                <w:rFonts w:ascii="Times New Roman" w:hAnsi="Times New Roman" w:eastAsia="方正仿宋_GBK" w:cs="Times New Roman"/>
                <w:color w:val="000000"/>
                <w:kern w:val="0"/>
                <w:sz w:val="24"/>
                <w:szCs w:val="24"/>
              </w:rPr>
              <w:t>根以上可酌情合并为相应规格计算。</w:t>
            </w:r>
          </w:p>
        </w:tc>
      </w:tr>
      <w:tr>
        <w:tblPrEx>
          <w:tblCellMar>
            <w:top w:w="0" w:type="dxa"/>
            <w:left w:w="0" w:type="dxa"/>
            <w:bottom w:w="0" w:type="dxa"/>
            <w:right w:w="0" w:type="dxa"/>
          </w:tblCellMar>
        </w:tblPrEx>
        <w:trPr>
          <w:trHeight w:val="624" w:hRule="exact"/>
          <w:jc w:val="center"/>
        </w:trPr>
        <w:tc>
          <w:tcPr>
            <w:tcW w:w="11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大窝</w:t>
            </w:r>
            <w:r>
              <w:rPr>
                <w:rStyle w:val="17"/>
                <w:rFonts w:eastAsia="方正仿宋_GBK"/>
              </w:rPr>
              <w:t>（30-50</w:t>
            </w:r>
            <w:r>
              <w:rPr>
                <w:rFonts w:ascii="Times New Roman" w:hAnsi="Times New Roman" w:eastAsia="方正仿宋_GBK" w:cs="Times New Roman"/>
                <w:color w:val="000000"/>
                <w:kern w:val="0"/>
                <w:sz w:val="24"/>
                <w:szCs w:val="24"/>
              </w:rPr>
              <w:t>根</w:t>
            </w:r>
            <w:r>
              <w:rPr>
                <w:rStyle w:val="17"/>
                <w:rFonts w:eastAsia="方正仿宋_GBK"/>
              </w:rPr>
              <w:t>）</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18-38</w:t>
            </w:r>
          </w:p>
        </w:tc>
        <w:tc>
          <w:tcPr>
            <w:tcW w:w="31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eastAsia="宋体" w:cs="Times New Roman"/>
                <w:color w:val="000000"/>
                <w:sz w:val="24"/>
                <w:szCs w:val="24"/>
              </w:rPr>
            </w:pPr>
          </w:p>
        </w:tc>
      </w:tr>
      <w:tr>
        <w:tblPrEx>
          <w:tblCellMar>
            <w:top w:w="0" w:type="dxa"/>
            <w:left w:w="0" w:type="dxa"/>
            <w:bottom w:w="0" w:type="dxa"/>
            <w:right w:w="0" w:type="dxa"/>
          </w:tblCellMar>
        </w:tblPrEx>
        <w:trPr>
          <w:trHeight w:val="624" w:hRule="exact"/>
          <w:jc w:val="center"/>
        </w:trPr>
        <w:tc>
          <w:tcPr>
            <w:tcW w:w="11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桂花树</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新栽幼苗</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根</w:t>
            </w: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1.5-2</w:t>
            </w:r>
          </w:p>
        </w:tc>
        <w:tc>
          <w:tcPr>
            <w:tcW w:w="31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16cm</w:t>
            </w:r>
            <w:r>
              <w:rPr>
                <w:rFonts w:ascii="Times New Roman" w:hAnsi="Times New Roman" w:eastAsia="方正仿宋_GBK" w:cs="Times New Roman"/>
                <w:color w:val="000000"/>
                <w:kern w:val="0"/>
                <w:sz w:val="24"/>
                <w:szCs w:val="24"/>
              </w:rPr>
              <w:t>以上每增加</w:t>
            </w:r>
            <w:r>
              <w:rPr>
                <w:rStyle w:val="17"/>
                <w:rFonts w:eastAsia="方正仿宋_GBK"/>
              </w:rPr>
              <w:t>1cm</w:t>
            </w:r>
            <w:r>
              <w:rPr>
                <w:rFonts w:ascii="Times New Roman" w:hAnsi="Times New Roman" w:eastAsia="方正仿宋_GBK" w:cs="Times New Roman"/>
                <w:color w:val="000000"/>
                <w:kern w:val="0"/>
                <w:sz w:val="24"/>
                <w:szCs w:val="24"/>
              </w:rPr>
              <w:t>增加补偿</w:t>
            </w:r>
            <w:r>
              <w:rPr>
                <w:rStyle w:val="17"/>
                <w:rFonts w:hint="eastAsia" w:eastAsia="方正仿宋_GBK"/>
              </w:rPr>
              <w:t>10</w:t>
            </w:r>
            <w:r>
              <w:rPr>
                <w:rFonts w:ascii="Times New Roman" w:hAnsi="Times New Roman" w:eastAsia="方正仿宋_GBK" w:cs="Times New Roman"/>
                <w:color w:val="000000"/>
                <w:kern w:val="0"/>
                <w:sz w:val="24"/>
                <w:szCs w:val="24"/>
              </w:rPr>
              <w:t>元。</w:t>
            </w:r>
            <w:r>
              <w:rPr>
                <w:rStyle w:val="17"/>
                <w:rFonts w:eastAsia="方正仿宋_GBK"/>
              </w:rPr>
              <w:t xml:space="preserve">  </w:t>
            </w:r>
          </w:p>
        </w:tc>
      </w:tr>
      <w:tr>
        <w:tblPrEx>
          <w:tblCellMar>
            <w:top w:w="0" w:type="dxa"/>
            <w:left w:w="0" w:type="dxa"/>
            <w:bottom w:w="0" w:type="dxa"/>
            <w:right w:w="0" w:type="dxa"/>
          </w:tblCellMar>
        </w:tblPrEx>
        <w:trPr>
          <w:trHeight w:val="624" w:hRule="exact"/>
          <w:jc w:val="center"/>
        </w:trPr>
        <w:tc>
          <w:tcPr>
            <w:tcW w:w="11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2—5cm</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10-29</w:t>
            </w:r>
          </w:p>
        </w:tc>
        <w:tc>
          <w:tcPr>
            <w:tcW w:w="31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24" w:hRule="exact"/>
          <w:jc w:val="center"/>
        </w:trPr>
        <w:tc>
          <w:tcPr>
            <w:tcW w:w="11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5—10cm</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32-77</w:t>
            </w:r>
          </w:p>
        </w:tc>
        <w:tc>
          <w:tcPr>
            <w:tcW w:w="31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24" w:hRule="exact"/>
          <w:jc w:val="center"/>
        </w:trPr>
        <w:tc>
          <w:tcPr>
            <w:tcW w:w="11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直径</w:t>
            </w:r>
            <w:r>
              <w:rPr>
                <w:rStyle w:val="17"/>
                <w:rFonts w:eastAsia="方正仿宋_GBK"/>
              </w:rPr>
              <w:t>10—15cm</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86-115</w:t>
            </w:r>
          </w:p>
        </w:tc>
        <w:tc>
          <w:tcPr>
            <w:tcW w:w="31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30" w:hRule="atLeast"/>
          <w:jc w:val="center"/>
        </w:trPr>
        <w:tc>
          <w:tcPr>
            <w:tcW w:w="8860" w:type="dxa"/>
            <w:gridSpan w:val="5"/>
            <w:tcBorders>
              <w:top w:val="nil"/>
              <w:left w:val="nil"/>
              <w:bottom w:val="nil"/>
              <w:right w:val="nil"/>
            </w:tcBorders>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备注：</w:t>
            </w:r>
            <w:r>
              <w:rPr>
                <w:rStyle w:val="17"/>
                <w:rFonts w:eastAsia="方正仿宋_GBK"/>
              </w:rPr>
              <w:t>1.</w:t>
            </w:r>
            <w:r>
              <w:rPr>
                <w:rFonts w:ascii="Times New Roman" w:hAnsi="Times New Roman" w:eastAsia="方正仿宋_GBK" w:cs="Times New Roman"/>
                <w:color w:val="000000"/>
                <w:kern w:val="0"/>
                <w:sz w:val="24"/>
                <w:szCs w:val="24"/>
              </w:rPr>
              <w:t>经补偿后的林木花草等在规定期限内由所有权人自行处置。</w:t>
            </w:r>
          </w:p>
        </w:tc>
      </w:tr>
      <w:tr>
        <w:tblPrEx>
          <w:tblCellMar>
            <w:top w:w="0" w:type="dxa"/>
            <w:left w:w="0" w:type="dxa"/>
            <w:bottom w:w="0" w:type="dxa"/>
            <w:right w:w="0" w:type="dxa"/>
          </w:tblCellMar>
        </w:tblPrEx>
        <w:trPr>
          <w:trHeight w:val="525" w:hRule="atLeast"/>
          <w:jc w:val="center"/>
        </w:trPr>
        <w:tc>
          <w:tcPr>
            <w:tcW w:w="8860" w:type="dxa"/>
            <w:gridSpan w:val="5"/>
            <w:tcBorders>
              <w:top w:val="nil"/>
              <w:left w:val="nil"/>
              <w:bottom w:val="nil"/>
              <w:right w:val="nil"/>
            </w:tcBorders>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　　</w:t>
            </w:r>
            <w:r>
              <w:rPr>
                <w:rStyle w:val="17"/>
                <w:rFonts w:eastAsia="方正仿宋_GBK"/>
              </w:rPr>
              <w:t xml:space="preserve">  2.</w:t>
            </w:r>
            <w:r>
              <w:rPr>
                <w:rFonts w:ascii="Times New Roman" w:hAnsi="Times New Roman" w:eastAsia="方正仿宋_GBK" w:cs="Times New Roman"/>
                <w:color w:val="000000"/>
                <w:kern w:val="0"/>
                <w:sz w:val="24"/>
                <w:szCs w:val="24"/>
              </w:rPr>
              <w:t>珍稀名贵树木按国家和重庆市的有关规定执行。</w:t>
            </w:r>
          </w:p>
        </w:tc>
      </w:tr>
    </w:tbl>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16"/>
        <w:jc w:val="left"/>
        <w:rPr>
          <w:rFonts w:hint="eastAsia"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附件4</w:t>
      </w:r>
    </w:p>
    <w:p>
      <w:pPr>
        <w:pStyle w:val="16"/>
        <w:jc w:val="center"/>
        <w:rPr>
          <w:rFonts w:hint="eastAsia" w:ascii="方正小标宋_GBK" w:hAnsi="宋体" w:eastAsia="方正小标宋_GBK" w:cs="宋体"/>
          <w:color w:val="000000"/>
          <w:kern w:val="0"/>
          <w:sz w:val="36"/>
          <w:szCs w:val="36"/>
        </w:rPr>
      </w:pPr>
    </w:p>
    <w:p>
      <w:pPr>
        <w:pStyle w:val="16"/>
        <w:jc w:val="center"/>
        <w:rPr>
          <w:rFonts w:hint="eastAsia"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南川区征收集体土地地上构（附）着物补偿标准</w:t>
      </w:r>
    </w:p>
    <w:p>
      <w:pPr>
        <w:pStyle w:val="16"/>
        <w:jc w:val="center"/>
        <w:rPr>
          <w:rFonts w:hint="eastAsia" w:ascii="方正小标宋_GBK" w:hAnsi="宋体" w:eastAsia="方正小标宋_GBK" w:cs="宋体"/>
          <w:color w:val="000000"/>
          <w:kern w:val="0"/>
          <w:sz w:val="36"/>
          <w:szCs w:val="36"/>
        </w:rPr>
      </w:pPr>
    </w:p>
    <w:tbl>
      <w:tblPr>
        <w:tblStyle w:val="10"/>
        <w:tblW w:w="9100" w:type="dxa"/>
        <w:tblInd w:w="0" w:type="dxa"/>
        <w:tblLayout w:type="fixed"/>
        <w:tblCellMar>
          <w:top w:w="0" w:type="dxa"/>
          <w:left w:w="108" w:type="dxa"/>
          <w:bottom w:w="0" w:type="dxa"/>
          <w:right w:w="108" w:type="dxa"/>
        </w:tblCellMar>
      </w:tblPr>
      <w:tblGrid>
        <w:gridCol w:w="1514"/>
        <w:gridCol w:w="2083"/>
        <w:gridCol w:w="832"/>
        <w:gridCol w:w="1249"/>
        <w:gridCol w:w="3422"/>
      </w:tblGrid>
      <w:tr>
        <w:tblPrEx>
          <w:tblCellMar>
            <w:top w:w="0" w:type="dxa"/>
            <w:left w:w="108" w:type="dxa"/>
            <w:bottom w:w="0" w:type="dxa"/>
            <w:right w:w="108" w:type="dxa"/>
          </w:tblCellMar>
        </w:tblPrEx>
        <w:trPr>
          <w:trHeight w:val="414" w:hRule="atLeast"/>
        </w:trPr>
        <w:tc>
          <w:tcPr>
            <w:tcW w:w="1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ascii="方正黑体_GBK" w:hAnsi="宋体" w:eastAsia="方正黑体_GBK" w:cs="宋体"/>
                <w:color w:val="000000"/>
                <w:kern w:val="0"/>
                <w:sz w:val="21"/>
                <w:szCs w:val="21"/>
              </w:rPr>
            </w:pPr>
            <w:r>
              <w:rPr>
                <w:rFonts w:hint="eastAsia" w:ascii="方正黑体_GBK" w:hAnsi="宋体" w:eastAsia="方正黑体_GBK" w:cs="宋体"/>
                <w:color w:val="000000"/>
                <w:kern w:val="0"/>
                <w:sz w:val="21"/>
                <w:szCs w:val="21"/>
              </w:rPr>
              <w:t>名称</w:t>
            </w:r>
          </w:p>
        </w:tc>
        <w:tc>
          <w:tcPr>
            <w:tcW w:w="20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ascii="方正黑体_GBK" w:hAnsi="宋体" w:eastAsia="方正黑体_GBK" w:cs="宋体"/>
                <w:color w:val="000000"/>
                <w:kern w:val="0"/>
                <w:sz w:val="21"/>
                <w:szCs w:val="21"/>
              </w:rPr>
            </w:pPr>
            <w:r>
              <w:rPr>
                <w:rFonts w:hint="eastAsia" w:ascii="方正黑体_GBK" w:hAnsi="宋体" w:eastAsia="方正黑体_GBK" w:cs="宋体"/>
                <w:color w:val="000000"/>
                <w:kern w:val="0"/>
                <w:sz w:val="21"/>
                <w:szCs w:val="21"/>
              </w:rPr>
              <w:t>结构</w:t>
            </w:r>
          </w:p>
        </w:tc>
        <w:tc>
          <w:tcPr>
            <w:tcW w:w="83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ascii="方正黑体_GBK" w:hAnsi="宋体" w:eastAsia="方正黑体_GBK" w:cs="宋体"/>
                <w:color w:val="000000"/>
                <w:kern w:val="0"/>
                <w:sz w:val="21"/>
                <w:szCs w:val="21"/>
              </w:rPr>
            </w:pPr>
            <w:r>
              <w:rPr>
                <w:rFonts w:hint="eastAsia" w:ascii="方正黑体_GBK" w:hAnsi="宋体" w:eastAsia="方正黑体_GBK" w:cs="宋体"/>
                <w:color w:val="000000"/>
                <w:kern w:val="0"/>
                <w:sz w:val="21"/>
                <w:szCs w:val="21"/>
              </w:rPr>
              <w:t>单位</w:t>
            </w:r>
          </w:p>
        </w:tc>
        <w:tc>
          <w:tcPr>
            <w:tcW w:w="124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eastAsia" w:ascii="方正黑体_GBK" w:hAnsi="宋体" w:eastAsia="方正黑体_GBK" w:cs="宋体"/>
                <w:color w:val="000000"/>
                <w:kern w:val="0"/>
                <w:sz w:val="21"/>
                <w:szCs w:val="21"/>
                <w:lang w:eastAsia="zh-CN"/>
              </w:rPr>
            </w:pPr>
            <w:r>
              <w:rPr>
                <w:rFonts w:hint="eastAsia" w:ascii="方正黑体_GBK" w:hAnsi="宋体" w:eastAsia="方正黑体_GBK" w:cs="宋体"/>
                <w:color w:val="000000"/>
                <w:kern w:val="0"/>
                <w:sz w:val="21"/>
                <w:szCs w:val="21"/>
              </w:rPr>
              <w:t>标准</w:t>
            </w:r>
            <w:r>
              <w:rPr>
                <w:rFonts w:hint="eastAsia" w:ascii="方正黑体_GBK" w:hAnsi="宋体" w:eastAsia="方正黑体_GBK" w:cs="宋体"/>
                <w:color w:val="000000"/>
                <w:kern w:val="0"/>
                <w:sz w:val="21"/>
                <w:szCs w:val="21"/>
                <w:lang w:eastAsia="zh-CN"/>
              </w:rPr>
              <w:t>（元）</w:t>
            </w:r>
          </w:p>
        </w:tc>
        <w:tc>
          <w:tcPr>
            <w:tcW w:w="34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ascii="方正黑体_GBK" w:hAnsi="宋体" w:eastAsia="方正黑体_GBK" w:cs="宋体"/>
                <w:color w:val="000000"/>
                <w:kern w:val="0"/>
                <w:sz w:val="21"/>
                <w:szCs w:val="21"/>
              </w:rPr>
            </w:pPr>
            <w:r>
              <w:rPr>
                <w:rFonts w:hint="eastAsia" w:ascii="方正黑体_GBK" w:hAnsi="宋体" w:eastAsia="方正黑体_GBK" w:cs="宋体"/>
                <w:color w:val="000000"/>
                <w:kern w:val="0"/>
                <w:sz w:val="21"/>
                <w:szCs w:val="21"/>
              </w:rPr>
              <w:t>备</w:t>
            </w:r>
            <w:r>
              <w:rPr>
                <w:rFonts w:ascii="Times New Roman" w:hAnsi="Times New Roman" w:eastAsia="方正黑体_GBK" w:cs="Times New Roman"/>
                <w:color w:val="000000"/>
                <w:kern w:val="0"/>
                <w:sz w:val="21"/>
                <w:szCs w:val="21"/>
              </w:rPr>
              <w:t xml:space="preserve"> </w:t>
            </w:r>
            <w:r>
              <w:rPr>
                <w:rFonts w:hint="eastAsia" w:ascii="方正黑体_GBK" w:hAnsi="宋体" w:eastAsia="方正黑体_GBK" w:cs="宋体"/>
                <w:color w:val="000000"/>
                <w:kern w:val="0"/>
                <w:sz w:val="21"/>
                <w:szCs w:val="21"/>
              </w:rPr>
              <w:t>注</w:t>
            </w:r>
          </w:p>
        </w:tc>
      </w:tr>
      <w:tr>
        <w:tblPrEx>
          <w:tblCellMar>
            <w:top w:w="0" w:type="dxa"/>
            <w:left w:w="108" w:type="dxa"/>
            <w:bottom w:w="0" w:type="dxa"/>
            <w:right w:w="108" w:type="dxa"/>
          </w:tblCellMar>
        </w:tblPrEx>
        <w:trPr>
          <w:trHeight w:val="397" w:hRule="exact"/>
        </w:trPr>
        <w:tc>
          <w:tcPr>
            <w:tcW w:w="151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堡坎</w:t>
            </w:r>
          </w:p>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（鱼塘堡坎）</w:t>
            </w: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条石（砖）</w:t>
            </w:r>
          </w:p>
        </w:tc>
        <w:tc>
          <w:tcPr>
            <w:tcW w:w="83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立方米</w:t>
            </w: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150</w:t>
            </w:r>
          </w:p>
        </w:tc>
        <w:tc>
          <w:tcPr>
            <w:tcW w:w="342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改田改土不予补偿，房屋基础堡坎不予补偿。</w:t>
            </w:r>
          </w:p>
        </w:tc>
      </w:tr>
      <w:tr>
        <w:tblPrEx>
          <w:tblCellMar>
            <w:top w:w="0" w:type="dxa"/>
            <w:left w:w="108" w:type="dxa"/>
            <w:bottom w:w="0" w:type="dxa"/>
            <w:right w:w="108" w:type="dxa"/>
          </w:tblCellMar>
        </w:tblPrEx>
        <w:trPr>
          <w:trHeight w:val="397" w:hRule="exact"/>
        </w:trPr>
        <w:tc>
          <w:tcPr>
            <w:tcW w:w="15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片石</w:t>
            </w:r>
          </w:p>
        </w:tc>
        <w:tc>
          <w:tcPr>
            <w:tcW w:w="83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100</w:t>
            </w:r>
          </w:p>
        </w:tc>
        <w:tc>
          <w:tcPr>
            <w:tcW w:w="34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397" w:hRule="exact"/>
        </w:trPr>
        <w:tc>
          <w:tcPr>
            <w:tcW w:w="151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围墙</w:t>
            </w: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砖</w:t>
            </w:r>
          </w:p>
        </w:tc>
        <w:tc>
          <w:tcPr>
            <w:tcW w:w="83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平方米</w:t>
            </w: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60</w:t>
            </w:r>
          </w:p>
        </w:tc>
        <w:tc>
          <w:tcPr>
            <w:tcW w:w="342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　</w:t>
            </w:r>
          </w:p>
        </w:tc>
      </w:tr>
      <w:tr>
        <w:tblPrEx>
          <w:tblCellMar>
            <w:top w:w="0" w:type="dxa"/>
            <w:left w:w="108" w:type="dxa"/>
            <w:bottom w:w="0" w:type="dxa"/>
            <w:right w:w="108" w:type="dxa"/>
          </w:tblCellMar>
        </w:tblPrEx>
        <w:trPr>
          <w:trHeight w:val="397" w:hRule="exact"/>
        </w:trPr>
        <w:tc>
          <w:tcPr>
            <w:tcW w:w="15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片石</w:t>
            </w:r>
          </w:p>
        </w:tc>
        <w:tc>
          <w:tcPr>
            <w:tcW w:w="83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50</w:t>
            </w:r>
          </w:p>
        </w:tc>
        <w:tc>
          <w:tcPr>
            <w:tcW w:w="34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397" w:hRule="exact"/>
        </w:trPr>
        <w:tc>
          <w:tcPr>
            <w:tcW w:w="15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土围墙</w:t>
            </w:r>
          </w:p>
        </w:tc>
        <w:tc>
          <w:tcPr>
            <w:tcW w:w="83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15</w:t>
            </w:r>
          </w:p>
        </w:tc>
        <w:tc>
          <w:tcPr>
            <w:tcW w:w="34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397" w:hRule="exact"/>
        </w:trPr>
        <w:tc>
          <w:tcPr>
            <w:tcW w:w="15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砖瓦石灰窑</w:t>
            </w: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石砌</w:t>
            </w:r>
          </w:p>
        </w:tc>
        <w:tc>
          <w:tcPr>
            <w:tcW w:w="8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立方米</w:t>
            </w: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60—75</w:t>
            </w:r>
          </w:p>
        </w:tc>
        <w:tc>
          <w:tcPr>
            <w:tcW w:w="342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废弃砖瓦，石灰窑一律不再补偿。</w:t>
            </w:r>
          </w:p>
        </w:tc>
      </w:tr>
      <w:tr>
        <w:tblPrEx>
          <w:tblCellMar>
            <w:top w:w="0" w:type="dxa"/>
            <w:left w:w="108" w:type="dxa"/>
            <w:bottom w:w="0" w:type="dxa"/>
            <w:right w:w="108" w:type="dxa"/>
          </w:tblCellMar>
        </w:tblPrEx>
        <w:trPr>
          <w:trHeight w:val="397" w:hRule="exact"/>
        </w:trPr>
        <w:tc>
          <w:tcPr>
            <w:tcW w:w="151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水井</w:t>
            </w: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条石（砖）</w:t>
            </w:r>
          </w:p>
        </w:tc>
        <w:tc>
          <w:tcPr>
            <w:tcW w:w="83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立方米</w:t>
            </w: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85</w:t>
            </w:r>
          </w:p>
        </w:tc>
        <w:tc>
          <w:tcPr>
            <w:tcW w:w="342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水井:按容积计算补偿后，一律不再计算材料补偿。</w:t>
            </w:r>
          </w:p>
        </w:tc>
      </w:tr>
      <w:tr>
        <w:tblPrEx>
          <w:tblCellMar>
            <w:top w:w="0" w:type="dxa"/>
            <w:left w:w="108" w:type="dxa"/>
            <w:bottom w:w="0" w:type="dxa"/>
            <w:right w:w="108" w:type="dxa"/>
          </w:tblCellMar>
        </w:tblPrEx>
        <w:trPr>
          <w:trHeight w:val="397" w:hRule="exact"/>
        </w:trPr>
        <w:tc>
          <w:tcPr>
            <w:tcW w:w="15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水泥</w:t>
            </w:r>
          </w:p>
        </w:tc>
        <w:tc>
          <w:tcPr>
            <w:tcW w:w="83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50</w:t>
            </w:r>
          </w:p>
        </w:tc>
        <w:tc>
          <w:tcPr>
            <w:tcW w:w="34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397" w:hRule="exact"/>
        </w:trPr>
        <w:tc>
          <w:tcPr>
            <w:tcW w:w="15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简易</w:t>
            </w:r>
          </w:p>
        </w:tc>
        <w:tc>
          <w:tcPr>
            <w:tcW w:w="83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25</w:t>
            </w:r>
          </w:p>
        </w:tc>
        <w:tc>
          <w:tcPr>
            <w:tcW w:w="34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397" w:hRule="exact"/>
        </w:trPr>
        <w:tc>
          <w:tcPr>
            <w:tcW w:w="15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机井</w:t>
            </w:r>
          </w:p>
        </w:tc>
        <w:tc>
          <w:tcPr>
            <w:tcW w:w="8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个</w:t>
            </w: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500</w:t>
            </w:r>
          </w:p>
        </w:tc>
        <w:tc>
          <w:tcPr>
            <w:tcW w:w="34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563" w:hRule="exact"/>
        </w:trPr>
        <w:tc>
          <w:tcPr>
            <w:tcW w:w="151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地坝</w:t>
            </w: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石坂（水泥）</w:t>
            </w:r>
          </w:p>
        </w:tc>
        <w:tc>
          <w:tcPr>
            <w:tcW w:w="83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平方米</w:t>
            </w: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35</w:t>
            </w:r>
          </w:p>
        </w:tc>
        <w:tc>
          <w:tcPr>
            <w:tcW w:w="342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地坝:指正规成形的晒坝或院坝，非正规不成形的零星小块弃平地，不论是三合土地面或土质地面等，一律不计算补偿。</w:t>
            </w:r>
          </w:p>
        </w:tc>
      </w:tr>
      <w:tr>
        <w:tblPrEx>
          <w:tblCellMar>
            <w:top w:w="0" w:type="dxa"/>
            <w:left w:w="108" w:type="dxa"/>
            <w:bottom w:w="0" w:type="dxa"/>
            <w:right w:w="108" w:type="dxa"/>
          </w:tblCellMar>
        </w:tblPrEx>
        <w:trPr>
          <w:trHeight w:val="502" w:hRule="exact"/>
        </w:trPr>
        <w:tc>
          <w:tcPr>
            <w:tcW w:w="15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三合土</w:t>
            </w:r>
          </w:p>
        </w:tc>
        <w:tc>
          <w:tcPr>
            <w:tcW w:w="83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15</w:t>
            </w:r>
          </w:p>
        </w:tc>
        <w:tc>
          <w:tcPr>
            <w:tcW w:w="34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397" w:hRule="exact"/>
        </w:trPr>
        <w:tc>
          <w:tcPr>
            <w:tcW w:w="151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道路</w:t>
            </w: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水泥路面</w:t>
            </w:r>
          </w:p>
        </w:tc>
        <w:tc>
          <w:tcPr>
            <w:tcW w:w="83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平方米</w:t>
            </w: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85</w:t>
            </w:r>
          </w:p>
        </w:tc>
        <w:tc>
          <w:tcPr>
            <w:tcW w:w="342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人行道路一律不予补偿；水泥路面厚度在10厘米以上按水泥路面补偿，低于10厘米按照碎石泥结路面标准补偿。</w:t>
            </w:r>
          </w:p>
        </w:tc>
      </w:tr>
      <w:tr>
        <w:tblPrEx>
          <w:tblCellMar>
            <w:top w:w="0" w:type="dxa"/>
            <w:left w:w="108" w:type="dxa"/>
            <w:bottom w:w="0" w:type="dxa"/>
            <w:right w:w="108" w:type="dxa"/>
          </w:tblCellMar>
        </w:tblPrEx>
        <w:trPr>
          <w:trHeight w:val="397" w:hRule="exact"/>
        </w:trPr>
        <w:tc>
          <w:tcPr>
            <w:tcW w:w="15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碎石（含条石）</w:t>
            </w:r>
          </w:p>
        </w:tc>
        <w:tc>
          <w:tcPr>
            <w:tcW w:w="83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60</w:t>
            </w:r>
          </w:p>
        </w:tc>
        <w:tc>
          <w:tcPr>
            <w:tcW w:w="34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397" w:hRule="exact"/>
        </w:trPr>
        <w:tc>
          <w:tcPr>
            <w:tcW w:w="15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泥结路面</w:t>
            </w:r>
          </w:p>
        </w:tc>
        <w:tc>
          <w:tcPr>
            <w:tcW w:w="83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50</w:t>
            </w:r>
          </w:p>
        </w:tc>
        <w:tc>
          <w:tcPr>
            <w:tcW w:w="34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397" w:hRule="exact"/>
        </w:trPr>
        <w:tc>
          <w:tcPr>
            <w:tcW w:w="151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粪池、贮水池</w:t>
            </w: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条石、坚石硬打</w:t>
            </w:r>
          </w:p>
        </w:tc>
        <w:tc>
          <w:tcPr>
            <w:tcW w:w="83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立方米</w:t>
            </w: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45</w:t>
            </w:r>
          </w:p>
        </w:tc>
        <w:tc>
          <w:tcPr>
            <w:tcW w:w="342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农民自建室内粪坑，一律不补偿。已按标准补偿的粪池、沼气池，其材料费不再补偿。</w:t>
            </w:r>
          </w:p>
        </w:tc>
      </w:tr>
      <w:tr>
        <w:tblPrEx>
          <w:tblCellMar>
            <w:top w:w="0" w:type="dxa"/>
            <w:left w:w="108" w:type="dxa"/>
            <w:bottom w:w="0" w:type="dxa"/>
            <w:right w:w="108" w:type="dxa"/>
          </w:tblCellMar>
        </w:tblPrEx>
        <w:trPr>
          <w:trHeight w:val="397" w:hRule="exact"/>
        </w:trPr>
        <w:tc>
          <w:tcPr>
            <w:tcW w:w="15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三合土、水泥</w:t>
            </w:r>
          </w:p>
        </w:tc>
        <w:tc>
          <w:tcPr>
            <w:tcW w:w="83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20</w:t>
            </w:r>
          </w:p>
        </w:tc>
        <w:tc>
          <w:tcPr>
            <w:tcW w:w="34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397" w:hRule="exact"/>
        </w:trPr>
        <w:tc>
          <w:tcPr>
            <w:tcW w:w="15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土</w:t>
            </w:r>
          </w:p>
        </w:tc>
        <w:tc>
          <w:tcPr>
            <w:tcW w:w="83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10</w:t>
            </w:r>
          </w:p>
        </w:tc>
        <w:tc>
          <w:tcPr>
            <w:tcW w:w="34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397" w:hRule="exact"/>
        </w:trPr>
        <w:tc>
          <w:tcPr>
            <w:tcW w:w="1514"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水渠</w:t>
            </w: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条石、砖砌</w:t>
            </w:r>
          </w:p>
        </w:tc>
        <w:tc>
          <w:tcPr>
            <w:tcW w:w="832" w:type="dxa"/>
            <w:vMerge w:val="restart"/>
            <w:tcBorders>
              <w:top w:val="nil"/>
              <w:left w:val="nil"/>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立方米</w:t>
            </w: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60</w:t>
            </w:r>
          </w:p>
        </w:tc>
        <w:tc>
          <w:tcPr>
            <w:tcW w:w="3422" w:type="dxa"/>
            <w:vMerge w:val="restart"/>
            <w:tcBorders>
              <w:top w:val="nil"/>
              <w:left w:val="nil"/>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指村社人工砌筑的专用水渠。</w:t>
            </w:r>
          </w:p>
        </w:tc>
      </w:tr>
      <w:tr>
        <w:tblPrEx>
          <w:tblCellMar>
            <w:top w:w="0" w:type="dxa"/>
            <w:left w:w="108" w:type="dxa"/>
            <w:bottom w:w="0" w:type="dxa"/>
            <w:right w:w="108" w:type="dxa"/>
          </w:tblCellMar>
        </w:tblPrEx>
        <w:trPr>
          <w:trHeight w:val="397" w:hRule="exact"/>
        </w:trPr>
        <w:tc>
          <w:tcPr>
            <w:tcW w:w="151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片石（砖、三合土）</w:t>
            </w:r>
          </w:p>
        </w:tc>
        <w:tc>
          <w:tcPr>
            <w:tcW w:w="832"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25</w:t>
            </w:r>
          </w:p>
        </w:tc>
        <w:tc>
          <w:tcPr>
            <w:tcW w:w="3422"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397" w:hRule="exact"/>
        </w:trPr>
        <w:tc>
          <w:tcPr>
            <w:tcW w:w="15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钢架大棚</w:t>
            </w: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钢架薄膜</w:t>
            </w:r>
          </w:p>
        </w:tc>
        <w:tc>
          <w:tcPr>
            <w:tcW w:w="8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亩</w:t>
            </w: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4200</w:t>
            </w:r>
            <w:r>
              <w:rPr>
                <w:rFonts w:hint="default" w:ascii="Times New Roman" w:hAnsi="Times New Roman" w:eastAsia="方正仿宋_GBK" w:cs="Times New Roman"/>
                <w:color w:val="000000"/>
                <w:kern w:val="0"/>
                <w:sz w:val="24"/>
                <w:szCs w:val="24"/>
                <w:lang w:val="en-US" w:eastAsia="zh-CN"/>
              </w:rPr>
              <w:t>-</w:t>
            </w:r>
            <w:r>
              <w:rPr>
                <w:rFonts w:hint="default" w:ascii="Times New Roman" w:hAnsi="Times New Roman" w:eastAsia="方正仿宋_GBK" w:cs="Times New Roman"/>
                <w:color w:val="000000"/>
                <w:kern w:val="0"/>
                <w:sz w:val="24"/>
                <w:szCs w:val="24"/>
              </w:rPr>
              <w:t>5280</w:t>
            </w:r>
          </w:p>
        </w:tc>
        <w:tc>
          <w:tcPr>
            <w:tcW w:w="342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　</w:t>
            </w:r>
          </w:p>
        </w:tc>
      </w:tr>
      <w:tr>
        <w:tblPrEx>
          <w:tblCellMar>
            <w:top w:w="0" w:type="dxa"/>
            <w:left w:w="108" w:type="dxa"/>
            <w:bottom w:w="0" w:type="dxa"/>
            <w:right w:w="108" w:type="dxa"/>
          </w:tblCellMar>
        </w:tblPrEx>
        <w:trPr>
          <w:trHeight w:val="397" w:hRule="exact"/>
        </w:trPr>
        <w:tc>
          <w:tcPr>
            <w:tcW w:w="151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电杆</w:t>
            </w: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9米以上</w:t>
            </w:r>
          </w:p>
        </w:tc>
        <w:tc>
          <w:tcPr>
            <w:tcW w:w="83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根</w:t>
            </w: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190</w:t>
            </w:r>
          </w:p>
        </w:tc>
        <w:tc>
          <w:tcPr>
            <w:tcW w:w="342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　</w:t>
            </w:r>
          </w:p>
        </w:tc>
      </w:tr>
      <w:tr>
        <w:tblPrEx>
          <w:tblCellMar>
            <w:top w:w="0" w:type="dxa"/>
            <w:left w:w="108" w:type="dxa"/>
            <w:bottom w:w="0" w:type="dxa"/>
            <w:right w:w="108" w:type="dxa"/>
          </w:tblCellMar>
        </w:tblPrEx>
        <w:trPr>
          <w:trHeight w:val="397" w:hRule="exact"/>
        </w:trPr>
        <w:tc>
          <w:tcPr>
            <w:tcW w:w="15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不足9米</w:t>
            </w:r>
          </w:p>
        </w:tc>
        <w:tc>
          <w:tcPr>
            <w:tcW w:w="83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130</w:t>
            </w:r>
          </w:p>
        </w:tc>
        <w:tc>
          <w:tcPr>
            <w:tcW w:w="34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397" w:hRule="exact"/>
        </w:trPr>
        <w:tc>
          <w:tcPr>
            <w:tcW w:w="1514"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水管</w:t>
            </w: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室外饮水管</w:t>
            </w:r>
          </w:p>
        </w:tc>
        <w:tc>
          <w:tcPr>
            <w:tcW w:w="832"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米</w:t>
            </w: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4</w:t>
            </w:r>
          </w:p>
        </w:tc>
        <w:tc>
          <w:tcPr>
            <w:tcW w:w="3422"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不含自来水安装水管、市政管网，排水管指室外排水管。</w:t>
            </w:r>
          </w:p>
        </w:tc>
      </w:tr>
      <w:tr>
        <w:tblPrEx>
          <w:tblCellMar>
            <w:top w:w="0" w:type="dxa"/>
            <w:left w:w="108" w:type="dxa"/>
            <w:bottom w:w="0" w:type="dxa"/>
            <w:right w:w="108" w:type="dxa"/>
          </w:tblCellMar>
        </w:tblPrEx>
        <w:trPr>
          <w:trHeight w:val="397" w:hRule="exact"/>
        </w:trPr>
        <w:tc>
          <w:tcPr>
            <w:tcW w:w="151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排水管（200毫米）</w:t>
            </w:r>
          </w:p>
        </w:tc>
        <w:tc>
          <w:tcPr>
            <w:tcW w:w="83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30</w:t>
            </w:r>
          </w:p>
        </w:tc>
        <w:tc>
          <w:tcPr>
            <w:tcW w:w="342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397" w:hRule="exact"/>
        </w:trPr>
        <w:tc>
          <w:tcPr>
            <w:tcW w:w="151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排水管（300毫米）</w:t>
            </w:r>
          </w:p>
        </w:tc>
        <w:tc>
          <w:tcPr>
            <w:tcW w:w="83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60</w:t>
            </w:r>
          </w:p>
        </w:tc>
        <w:tc>
          <w:tcPr>
            <w:tcW w:w="342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397" w:hRule="exact"/>
        </w:trPr>
        <w:tc>
          <w:tcPr>
            <w:tcW w:w="151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排水管（500毫米）</w:t>
            </w:r>
          </w:p>
        </w:tc>
        <w:tc>
          <w:tcPr>
            <w:tcW w:w="83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90</w:t>
            </w:r>
          </w:p>
        </w:tc>
        <w:tc>
          <w:tcPr>
            <w:tcW w:w="342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397" w:hRule="exact"/>
        </w:trPr>
        <w:tc>
          <w:tcPr>
            <w:tcW w:w="151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混凝土管（200毫米）</w:t>
            </w:r>
          </w:p>
        </w:tc>
        <w:tc>
          <w:tcPr>
            <w:tcW w:w="83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40</w:t>
            </w:r>
          </w:p>
        </w:tc>
        <w:tc>
          <w:tcPr>
            <w:tcW w:w="342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397" w:hRule="exact"/>
        </w:trPr>
        <w:tc>
          <w:tcPr>
            <w:tcW w:w="151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混凝土管（300毫米）</w:t>
            </w:r>
          </w:p>
        </w:tc>
        <w:tc>
          <w:tcPr>
            <w:tcW w:w="83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60</w:t>
            </w:r>
          </w:p>
        </w:tc>
        <w:tc>
          <w:tcPr>
            <w:tcW w:w="342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397" w:hRule="exact"/>
        </w:trPr>
        <w:tc>
          <w:tcPr>
            <w:tcW w:w="151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混凝土管（500毫米）</w:t>
            </w:r>
          </w:p>
        </w:tc>
        <w:tc>
          <w:tcPr>
            <w:tcW w:w="83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80</w:t>
            </w:r>
          </w:p>
        </w:tc>
        <w:tc>
          <w:tcPr>
            <w:tcW w:w="342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397" w:hRule="exact"/>
        </w:trPr>
        <w:tc>
          <w:tcPr>
            <w:tcW w:w="151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坟墓</w:t>
            </w: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土、片石坟（单）</w:t>
            </w:r>
          </w:p>
        </w:tc>
        <w:tc>
          <w:tcPr>
            <w:tcW w:w="8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座</w:t>
            </w: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3000</w:t>
            </w:r>
          </w:p>
        </w:tc>
        <w:tc>
          <w:tcPr>
            <w:tcW w:w="342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 xml:space="preserve">由征地单位公告坟主近亲属按期迁葬，逾期不迁葬，按无主坟处理。  </w:t>
            </w:r>
          </w:p>
        </w:tc>
      </w:tr>
      <w:tr>
        <w:tblPrEx>
          <w:tblCellMar>
            <w:top w:w="0" w:type="dxa"/>
            <w:left w:w="108" w:type="dxa"/>
            <w:bottom w:w="0" w:type="dxa"/>
            <w:right w:w="108" w:type="dxa"/>
          </w:tblCellMar>
        </w:tblPrEx>
        <w:trPr>
          <w:trHeight w:val="397" w:hRule="exact"/>
        </w:trPr>
        <w:tc>
          <w:tcPr>
            <w:tcW w:w="15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土、片石坟（双）</w:t>
            </w:r>
          </w:p>
        </w:tc>
        <w:tc>
          <w:tcPr>
            <w:tcW w:w="8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座</w:t>
            </w: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4000</w:t>
            </w:r>
          </w:p>
        </w:tc>
        <w:tc>
          <w:tcPr>
            <w:tcW w:w="34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397" w:hRule="exact"/>
        </w:trPr>
        <w:tc>
          <w:tcPr>
            <w:tcW w:w="15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条石、预制（单）</w:t>
            </w:r>
          </w:p>
        </w:tc>
        <w:tc>
          <w:tcPr>
            <w:tcW w:w="8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座</w:t>
            </w: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6000</w:t>
            </w:r>
          </w:p>
        </w:tc>
        <w:tc>
          <w:tcPr>
            <w:tcW w:w="34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397" w:hRule="exact"/>
        </w:trPr>
        <w:tc>
          <w:tcPr>
            <w:tcW w:w="15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c>
          <w:tcPr>
            <w:tcW w:w="2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条石、预制（双）</w:t>
            </w:r>
          </w:p>
        </w:tc>
        <w:tc>
          <w:tcPr>
            <w:tcW w:w="8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座</w:t>
            </w:r>
          </w:p>
        </w:tc>
        <w:tc>
          <w:tcPr>
            <w:tcW w:w="12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8000</w:t>
            </w:r>
          </w:p>
        </w:tc>
        <w:tc>
          <w:tcPr>
            <w:tcW w:w="34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p>
        </w:tc>
      </w:tr>
    </w:tbl>
    <w:p>
      <w:pPr>
        <w:keepNext w:val="0"/>
        <w:keepLines w:val="0"/>
        <w:pageBreakBefore w:val="0"/>
        <w:widowControl/>
        <w:kinsoku/>
        <w:wordWrap/>
        <w:overflowPunct/>
        <w:topLinePunct w:val="0"/>
        <w:bidi w:val="0"/>
        <w:snapToGrid w:val="0"/>
        <w:spacing w:line="46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说明：1.正常使用的沼气池按粪池补偿标准，每立方米增加15元补偿。</w:t>
      </w:r>
    </w:p>
    <w:p>
      <w:pPr>
        <w:pStyle w:val="16"/>
        <w:keepNext w:val="0"/>
        <w:keepLines w:val="0"/>
        <w:pageBreakBefore w:val="0"/>
        <w:widowControl/>
        <w:numPr>
          <w:ilvl w:val="0"/>
          <w:numId w:val="1"/>
        </w:numPr>
        <w:kinsoku/>
        <w:wordWrap/>
        <w:overflowPunct/>
        <w:topLinePunct w:val="0"/>
        <w:bidi w:val="0"/>
        <w:snapToGrid w:val="0"/>
        <w:spacing w:line="460" w:lineRule="exact"/>
        <w:ind w:left="0" w:leftChars="0" w:right="0" w:rightChars="0" w:firstLine="720" w:firstLineChars="300"/>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经补偿后的原构筑物在规定期限内由所有权人自行处置。</w:t>
      </w: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tbl>
      <w:tblPr>
        <w:tblStyle w:val="10"/>
        <w:tblW w:w="8860" w:type="dxa"/>
        <w:jc w:val="center"/>
        <w:tblLayout w:type="fixed"/>
        <w:tblCellMar>
          <w:top w:w="0" w:type="dxa"/>
          <w:left w:w="0" w:type="dxa"/>
          <w:bottom w:w="0" w:type="dxa"/>
          <w:right w:w="0" w:type="dxa"/>
        </w:tblCellMar>
      </w:tblPr>
      <w:tblGrid>
        <w:gridCol w:w="1583"/>
        <w:gridCol w:w="91"/>
        <w:gridCol w:w="1475"/>
        <w:gridCol w:w="122"/>
        <w:gridCol w:w="1199"/>
        <w:gridCol w:w="153"/>
        <w:gridCol w:w="1318"/>
        <w:gridCol w:w="502"/>
        <w:gridCol w:w="1997"/>
        <w:gridCol w:w="420"/>
      </w:tblGrid>
      <w:tr>
        <w:tblPrEx>
          <w:tblCellMar>
            <w:top w:w="0" w:type="dxa"/>
            <w:left w:w="0" w:type="dxa"/>
            <w:bottom w:w="0" w:type="dxa"/>
            <w:right w:w="0" w:type="dxa"/>
          </w:tblCellMar>
        </w:tblPrEx>
        <w:trPr>
          <w:trHeight w:val="513" w:hRule="atLeast"/>
          <w:jc w:val="center"/>
        </w:trPr>
        <w:tc>
          <w:tcPr>
            <w:tcW w:w="3271" w:type="dxa"/>
            <w:gridSpan w:val="4"/>
            <w:tcBorders>
              <w:top w:val="nil"/>
              <w:left w:val="nil"/>
              <w:bottom w:val="nil"/>
              <w:right w:val="nil"/>
            </w:tcBorders>
            <w:tcMar>
              <w:top w:w="15" w:type="dxa"/>
              <w:left w:w="15" w:type="dxa"/>
              <w:right w:w="15" w:type="dxa"/>
            </w:tcMar>
            <w:vAlign w:val="center"/>
          </w:tcPr>
          <w:p>
            <w:pPr>
              <w:widowControl/>
              <w:jc w:val="left"/>
              <w:textAlignment w:val="center"/>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kern w:val="0"/>
                <w:sz w:val="32"/>
                <w:szCs w:val="32"/>
              </w:rPr>
              <w:t>附件5</w:t>
            </w:r>
          </w:p>
        </w:tc>
        <w:tc>
          <w:tcPr>
            <w:tcW w:w="1199" w:type="dxa"/>
            <w:tcBorders>
              <w:top w:val="nil"/>
              <w:left w:val="nil"/>
              <w:bottom w:val="nil"/>
              <w:right w:val="nil"/>
            </w:tcBorders>
            <w:tcMar>
              <w:top w:w="15" w:type="dxa"/>
              <w:left w:w="15" w:type="dxa"/>
              <w:right w:w="15" w:type="dxa"/>
            </w:tcMar>
            <w:vAlign w:val="center"/>
          </w:tcPr>
          <w:p>
            <w:pPr>
              <w:jc w:val="left"/>
              <w:rPr>
                <w:rFonts w:ascii="仿宋_GB2312" w:hAnsi="宋体" w:eastAsia="仿宋_GB2312" w:cs="仿宋_GB2312"/>
                <w:color w:val="000000"/>
                <w:sz w:val="24"/>
                <w:szCs w:val="24"/>
              </w:rPr>
            </w:pPr>
          </w:p>
        </w:tc>
        <w:tc>
          <w:tcPr>
            <w:tcW w:w="4390" w:type="dxa"/>
            <w:gridSpan w:val="5"/>
            <w:tcBorders>
              <w:top w:val="nil"/>
              <w:left w:val="nil"/>
              <w:bottom w:val="nil"/>
              <w:right w:val="nil"/>
            </w:tcBorders>
            <w:tcMar>
              <w:top w:w="15" w:type="dxa"/>
              <w:left w:w="15" w:type="dxa"/>
              <w:right w:w="15" w:type="dxa"/>
            </w:tcMar>
            <w:vAlign w:val="center"/>
          </w:tcPr>
          <w:p>
            <w:pPr>
              <w:jc w:val="left"/>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692" w:hRule="atLeast"/>
          <w:jc w:val="center"/>
        </w:trPr>
        <w:tc>
          <w:tcPr>
            <w:tcW w:w="8860" w:type="dxa"/>
            <w:gridSpan w:val="10"/>
            <w:tcBorders>
              <w:top w:val="nil"/>
              <w:left w:val="nil"/>
              <w:bottom w:val="nil"/>
              <w:right w:val="nil"/>
            </w:tcBorders>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sz w:val="36"/>
                <w:szCs w:val="36"/>
              </w:rPr>
            </w:pPr>
            <w:r>
              <w:rPr>
                <w:rFonts w:ascii="方正小标宋_GBK" w:hAnsi="方正小标宋_GBK" w:eastAsia="方正小标宋_GBK" w:cs="方正小标宋_GBK"/>
                <w:color w:val="000000"/>
                <w:kern w:val="0"/>
                <w:sz w:val="36"/>
                <w:szCs w:val="36"/>
              </w:rPr>
              <w:t>南川区集体土地上房屋拆迁附属设施补偿标准</w:t>
            </w:r>
          </w:p>
        </w:tc>
      </w:tr>
      <w:tr>
        <w:tblPrEx>
          <w:tblCellMar>
            <w:top w:w="0" w:type="dxa"/>
            <w:left w:w="0" w:type="dxa"/>
            <w:bottom w:w="0" w:type="dxa"/>
            <w:right w:w="0" w:type="dxa"/>
          </w:tblCellMar>
        </w:tblPrEx>
        <w:trPr>
          <w:trHeight w:val="760" w:hRule="atLeast"/>
          <w:jc w:val="center"/>
        </w:trPr>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sz w:val="24"/>
                <w:szCs w:val="24"/>
              </w:rPr>
            </w:pPr>
            <w:r>
              <w:rPr>
                <w:rFonts w:ascii="方正小标宋_GBK" w:hAnsi="方正小标宋_GBK" w:eastAsia="方正小标宋_GBK" w:cs="方正小标宋_GBK"/>
                <w:color w:val="000000"/>
                <w:kern w:val="0"/>
                <w:sz w:val="24"/>
                <w:szCs w:val="24"/>
              </w:rPr>
              <w:t>名称</w:t>
            </w:r>
          </w:p>
        </w:tc>
        <w:tc>
          <w:tcPr>
            <w:tcW w:w="16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sz w:val="24"/>
                <w:szCs w:val="24"/>
              </w:rPr>
            </w:pPr>
            <w:r>
              <w:rPr>
                <w:rFonts w:ascii="方正小标宋_GBK" w:hAnsi="方正小标宋_GBK" w:eastAsia="方正小标宋_GBK" w:cs="方正小标宋_GBK"/>
                <w:color w:val="000000"/>
                <w:kern w:val="0"/>
                <w:sz w:val="24"/>
                <w:szCs w:val="24"/>
              </w:rPr>
              <w:t>结构</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sz w:val="24"/>
                <w:szCs w:val="24"/>
              </w:rPr>
            </w:pPr>
            <w:r>
              <w:rPr>
                <w:rFonts w:ascii="方正小标宋_GBK" w:hAnsi="方正小标宋_GBK" w:eastAsia="方正小标宋_GBK" w:cs="方正小标宋_GBK"/>
                <w:color w:val="000000"/>
                <w:kern w:val="0"/>
                <w:sz w:val="24"/>
                <w:szCs w:val="24"/>
              </w:rPr>
              <w:t>单位</w:t>
            </w:r>
          </w:p>
        </w:tc>
        <w:tc>
          <w:tcPr>
            <w:tcW w:w="14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sz w:val="24"/>
                <w:szCs w:val="24"/>
              </w:rPr>
            </w:pPr>
            <w:r>
              <w:rPr>
                <w:rFonts w:ascii="方正小标宋_GBK" w:hAnsi="方正小标宋_GBK" w:eastAsia="方正小标宋_GBK" w:cs="方正小标宋_GBK"/>
                <w:color w:val="000000"/>
                <w:kern w:val="0"/>
                <w:sz w:val="24"/>
                <w:szCs w:val="24"/>
              </w:rPr>
              <w:t>标准（元）</w:t>
            </w:r>
          </w:p>
        </w:tc>
        <w:tc>
          <w:tcPr>
            <w:tcW w:w="29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sz w:val="24"/>
                <w:szCs w:val="24"/>
              </w:rPr>
            </w:pPr>
            <w:r>
              <w:rPr>
                <w:rFonts w:ascii="方正小标宋_GBK" w:hAnsi="方正小标宋_GBK" w:eastAsia="方正小标宋_GBK" w:cs="方正小标宋_GBK"/>
                <w:color w:val="000000"/>
                <w:kern w:val="0"/>
                <w:sz w:val="24"/>
                <w:szCs w:val="24"/>
              </w:rPr>
              <w:t>备注</w:t>
            </w:r>
          </w:p>
        </w:tc>
      </w:tr>
      <w:tr>
        <w:tblPrEx>
          <w:tblCellMar>
            <w:top w:w="0" w:type="dxa"/>
            <w:left w:w="0" w:type="dxa"/>
            <w:bottom w:w="0" w:type="dxa"/>
            <w:right w:w="0" w:type="dxa"/>
          </w:tblCellMar>
        </w:tblPrEx>
        <w:trPr>
          <w:trHeight w:val="584" w:hRule="exact"/>
          <w:jc w:val="center"/>
        </w:trPr>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太阳能</w:t>
            </w:r>
          </w:p>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热水器</w:t>
            </w:r>
          </w:p>
        </w:tc>
        <w:tc>
          <w:tcPr>
            <w:tcW w:w="16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60" w:lineRule="exact"/>
              <w:ind w:left="0" w:leftChars="0" w:right="0" w:rightChars="0"/>
              <w:jc w:val="center"/>
              <w:outlineLvl w:val="9"/>
              <w:rPr>
                <w:rFonts w:ascii="方正仿宋_GBK" w:hAnsi="方正仿宋_GBK" w:eastAsia="方正仿宋_GBK" w:cs="方正仿宋_GBK"/>
                <w:color w:val="000000"/>
                <w:sz w:val="24"/>
                <w:szCs w:val="24"/>
              </w:rPr>
            </w:pP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台</w:t>
            </w:r>
          </w:p>
        </w:tc>
        <w:tc>
          <w:tcPr>
            <w:tcW w:w="14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w:t>
            </w:r>
            <w:r>
              <w:rPr>
                <w:rFonts w:hint="eastAsia" w:ascii="Times New Roman" w:hAnsi="Times New Roman" w:eastAsia="方正仿宋_GBK" w:cs="Times New Roman"/>
                <w:color w:val="000000"/>
                <w:kern w:val="0"/>
                <w:sz w:val="24"/>
                <w:szCs w:val="24"/>
              </w:rPr>
              <w:t>50</w:t>
            </w:r>
            <w:r>
              <w:rPr>
                <w:rFonts w:ascii="Times New Roman" w:hAnsi="Times New Roman" w:eastAsia="方正仿宋_GBK" w:cs="Times New Roman"/>
                <w:color w:val="000000"/>
                <w:kern w:val="0"/>
                <w:sz w:val="24"/>
                <w:szCs w:val="24"/>
              </w:rPr>
              <w:t>0</w:t>
            </w:r>
          </w:p>
        </w:tc>
        <w:tc>
          <w:tcPr>
            <w:tcW w:w="29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60" w:lineRule="exact"/>
              <w:ind w:left="0" w:leftChars="0" w:right="0" w:rightChars="0"/>
              <w:jc w:val="center"/>
              <w:outlineLvl w:val="9"/>
              <w:rPr>
                <w:rFonts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468" w:hRule="exact"/>
          <w:jc w:val="center"/>
        </w:trPr>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罐装沼气池</w:t>
            </w:r>
          </w:p>
        </w:tc>
        <w:tc>
          <w:tcPr>
            <w:tcW w:w="16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60" w:lineRule="exact"/>
              <w:ind w:left="0" w:leftChars="0" w:right="0" w:rightChars="0"/>
              <w:jc w:val="center"/>
              <w:outlineLvl w:val="9"/>
              <w:rPr>
                <w:rFonts w:ascii="方正仿宋_GBK" w:hAnsi="方正仿宋_GBK" w:eastAsia="方正仿宋_GBK" w:cs="方正仿宋_GBK"/>
                <w:color w:val="000000"/>
                <w:sz w:val="24"/>
                <w:szCs w:val="24"/>
              </w:rPr>
            </w:pP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个</w:t>
            </w:r>
          </w:p>
        </w:tc>
        <w:tc>
          <w:tcPr>
            <w:tcW w:w="14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1800</w:t>
            </w:r>
          </w:p>
        </w:tc>
        <w:tc>
          <w:tcPr>
            <w:tcW w:w="29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60" w:lineRule="exact"/>
              <w:ind w:left="0" w:leftChars="0" w:right="0" w:rightChars="0"/>
              <w:jc w:val="center"/>
              <w:outlineLvl w:val="9"/>
              <w:rPr>
                <w:rFonts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468" w:hRule="exact"/>
          <w:jc w:val="center"/>
        </w:trPr>
        <w:tc>
          <w:tcPr>
            <w:tcW w:w="15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空调迁移费</w:t>
            </w:r>
          </w:p>
        </w:tc>
        <w:tc>
          <w:tcPr>
            <w:tcW w:w="16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柜式</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台、次</w:t>
            </w:r>
          </w:p>
        </w:tc>
        <w:tc>
          <w:tcPr>
            <w:tcW w:w="14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rPr>
              <w:t>400</w:t>
            </w:r>
          </w:p>
        </w:tc>
        <w:tc>
          <w:tcPr>
            <w:tcW w:w="29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按两次补偿</w:t>
            </w:r>
          </w:p>
        </w:tc>
      </w:tr>
      <w:tr>
        <w:tblPrEx>
          <w:tblCellMar>
            <w:top w:w="0" w:type="dxa"/>
            <w:left w:w="0" w:type="dxa"/>
            <w:bottom w:w="0" w:type="dxa"/>
            <w:right w:w="0" w:type="dxa"/>
          </w:tblCellMar>
        </w:tblPrEx>
        <w:trPr>
          <w:trHeight w:val="468" w:hRule="exact"/>
          <w:jc w:val="center"/>
        </w:trPr>
        <w:tc>
          <w:tcPr>
            <w:tcW w:w="15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60" w:lineRule="exact"/>
              <w:ind w:left="0" w:leftChars="0" w:right="0" w:rightChars="0"/>
              <w:jc w:val="center"/>
              <w:outlineLvl w:val="9"/>
              <w:rPr>
                <w:rFonts w:ascii="方正仿宋_GBK" w:hAnsi="方正仿宋_GBK" w:eastAsia="方正仿宋_GBK" w:cs="方正仿宋_GBK"/>
                <w:color w:val="000000"/>
                <w:sz w:val="24"/>
                <w:szCs w:val="24"/>
              </w:rPr>
            </w:pPr>
          </w:p>
        </w:tc>
        <w:tc>
          <w:tcPr>
            <w:tcW w:w="16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挂式、窗式</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个、次</w:t>
            </w:r>
          </w:p>
        </w:tc>
        <w:tc>
          <w:tcPr>
            <w:tcW w:w="14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rPr>
              <w:t>250</w:t>
            </w:r>
          </w:p>
        </w:tc>
        <w:tc>
          <w:tcPr>
            <w:tcW w:w="29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按两次补偿</w:t>
            </w:r>
          </w:p>
        </w:tc>
      </w:tr>
      <w:tr>
        <w:tblPrEx>
          <w:tblCellMar>
            <w:top w:w="0" w:type="dxa"/>
            <w:left w:w="0" w:type="dxa"/>
            <w:bottom w:w="0" w:type="dxa"/>
            <w:right w:w="0" w:type="dxa"/>
          </w:tblCellMar>
        </w:tblPrEx>
        <w:trPr>
          <w:trHeight w:val="454" w:hRule="exact"/>
          <w:jc w:val="center"/>
        </w:trPr>
        <w:tc>
          <w:tcPr>
            <w:tcW w:w="15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灶</w:t>
            </w:r>
          </w:p>
        </w:tc>
        <w:tc>
          <w:tcPr>
            <w:tcW w:w="16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单灶</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个</w:t>
            </w:r>
          </w:p>
        </w:tc>
        <w:tc>
          <w:tcPr>
            <w:tcW w:w="14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rPr>
              <w:t>50</w:t>
            </w:r>
            <w:r>
              <w:rPr>
                <w:rFonts w:ascii="Times New Roman" w:hAnsi="Times New Roman" w:eastAsia="方正仿宋_GBK" w:cs="Times New Roman"/>
                <w:color w:val="000000"/>
                <w:kern w:val="0"/>
                <w:sz w:val="24"/>
                <w:szCs w:val="24"/>
              </w:rPr>
              <w:t>0</w:t>
            </w:r>
          </w:p>
        </w:tc>
        <w:tc>
          <w:tcPr>
            <w:tcW w:w="2919"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60" w:lineRule="exact"/>
              <w:ind w:left="0" w:leftChars="0" w:right="0" w:rightChars="0"/>
              <w:jc w:val="center"/>
              <w:outlineLvl w:val="9"/>
              <w:rPr>
                <w:rFonts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454" w:hRule="exact"/>
          <w:jc w:val="center"/>
        </w:trPr>
        <w:tc>
          <w:tcPr>
            <w:tcW w:w="15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60" w:lineRule="exact"/>
              <w:ind w:left="0" w:leftChars="0" w:right="0" w:rightChars="0"/>
              <w:jc w:val="center"/>
              <w:outlineLvl w:val="9"/>
              <w:rPr>
                <w:rFonts w:ascii="方正仿宋_GBK" w:hAnsi="方正仿宋_GBK" w:eastAsia="方正仿宋_GBK" w:cs="方正仿宋_GBK"/>
                <w:color w:val="000000"/>
                <w:sz w:val="24"/>
                <w:szCs w:val="24"/>
              </w:rPr>
            </w:pPr>
          </w:p>
        </w:tc>
        <w:tc>
          <w:tcPr>
            <w:tcW w:w="16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双灶</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个</w:t>
            </w:r>
          </w:p>
        </w:tc>
        <w:tc>
          <w:tcPr>
            <w:tcW w:w="14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7</w:t>
            </w:r>
            <w:r>
              <w:rPr>
                <w:rFonts w:hint="eastAsia" w:ascii="Times New Roman" w:hAnsi="Times New Roman" w:eastAsia="方正仿宋_GBK" w:cs="Times New Roman"/>
                <w:color w:val="000000"/>
                <w:kern w:val="0"/>
                <w:sz w:val="24"/>
                <w:szCs w:val="24"/>
              </w:rPr>
              <w:t>0</w:t>
            </w:r>
            <w:r>
              <w:rPr>
                <w:rFonts w:ascii="Times New Roman" w:hAnsi="Times New Roman" w:eastAsia="方正仿宋_GBK" w:cs="Times New Roman"/>
                <w:color w:val="000000"/>
                <w:kern w:val="0"/>
                <w:sz w:val="24"/>
                <w:szCs w:val="24"/>
              </w:rPr>
              <w:t>0</w:t>
            </w:r>
          </w:p>
        </w:tc>
        <w:tc>
          <w:tcPr>
            <w:tcW w:w="2919"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60" w:lineRule="exact"/>
              <w:ind w:left="0" w:leftChars="0" w:right="0" w:rightChars="0"/>
              <w:jc w:val="center"/>
              <w:outlineLvl w:val="9"/>
              <w:rPr>
                <w:rFonts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454" w:hRule="exact"/>
          <w:jc w:val="center"/>
        </w:trPr>
        <w:tc>
          <w:tcPr>
            <w:tcW w:w="15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60" w:lineRule="exact"/>
              <w:ind w:left="0" w:leftChars="0" w:right="0" w:rightChars="0"/>
              <w:jc w:val="center"/>
              <w:outlineLvl w:val="9"/>
              <w:rPr>
                <w:rFonts w:ascii="方正仿宋_GBK" w:hAnsi="方正仿宋_GBK" w:eastAsia="方正仿宋_GBK" w:cs="方正仿宋_GBK"/>
                <w:color w:val="000000"/>
                <w:sz w:val="24"/>
                <w:szCs w:val="24"/>
              </w:rPr>
            </w:pPr>
          </w:p>
        </w:tc>
        <w:tc>
          <w:tcPr>
            <w:tcW w:w="16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简易组合灶</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个</w:t>
            </w:r>
          </w:p>
        </w:tc>
        <w:tc>
          <w:tcPr>
            <w:tcW w:w="14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2400</w:t>
            </w:r>
          </w:p>
        </w:tc>
        <w:tc>
          <w:tcPr>
            <w:tcW w:w="29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454" w:hRule="exact"/>
          <w:jc w:val="center"/>
        </w:trPr>
        <w:tc>
          <w:tcPr>
            <w:tcW w:w="15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60" w:lineRule="exact"/>
              <w:ind w:left="0" w:leftChars="0" w:right="0" w:rightChars="0"/>
              <w:jc w:val="center"/>
              <w:outlineLvl w:val="9"/>
              <w:rPr>
                <w:rFonts w:ascii="方正仿宋_GBK" w:hAnsi="方正仿宋_GBK" w:eastAsia="方正仿宋_GBK" w:cs="方正仿宋_GBK"/>
                <w:color w:val="000000"/>
                <w:sz w:val="24"/>
                <w:szCs w:val="24"/>
              </w:rPr>
            </w:pPr>
          </w:p>
        </w:tc>
        <w:tc>
          <w:tcPr>
            <w:tcW w:w="16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精装组合灶</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个</w:t>
            </w:r>
          </w:p>
        </w:tc>
        <w:tc>
          <w:tcPr>
            <w:tcW w:w="14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3600</w:t>
            </w:r>
          </w:p>
        </w:tc>
        <w:tc>
          <w:tcPr>
            <w:tcW w:w="29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934" w:hRule="exact"/>
          <w:jc w:val="center"/>
        </w:trPr>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冻库</w:t>
            </w:r>
          </w:p>
        </w:tc>
        <w:tc>
          <w:tcPr>
            <w:tcW w:w="16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60" w:lineRule="exact"/>
              <w:ind w:left="0" w:leftChars="0" w:right="0" w:rightChars="0"/>
              <w:jc w:val="center"/>
              <w:outlineLvl w:val="9"/>
              <w:rPr>
                <w:rFonts w:ascii="方正仿宋_GBK" w:hAnsi="方正仿宋_GBK" w:eastAsia="方正仿宋_GBK" w:cs="方正仿宋_GBK"/>
                <w:color w:val="000000"/>
                <w:sz w:val="24"/>
                <w:szCs w:val="24"/>
              </w:rPr>
            </w:pP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立方米</w:t>
            </w:r>
          </w:p>
        </w:tc>
        <w:tc>
          <w:tcPr>
            <w:tcW w:w="14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900</w:t>
            </w:r>
          </w:p>
        </w:tc>
        <w:tc>
          <w:tcPr>
            <w:tcW w:w="29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具备工商营业执照、税务登记证、食品流通许可证、动物防疫条件合格证等手续。</w:t>
            </w:r>
          </w:p>
        </w:tc>
      </w:tr>
      <w:tr>
        <w:tblPrEx>
          <w:tblCellMar>
            <w:top w:w="0" w:type="dxa"/>
            <w:left w:w="0" w:type="dxa"/>
            <w:bottom w:w="0" w:type="dxa"/>
            <w:right w:w="0" w:type="dxa"/>
          </w:tblCellMar>
        </w:tblPrEx>
        <w:trPr>
          <w:trHeight w:val="454" w:hRule="exact"/>
          <w:jc w:val="center"/>
        </w:trPr>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粮仓</w:t>
            </w:r>
          </w:p>
        </w:tc>
        <w:tc>
          <w:tcPr>
            <w:tcW w:w="16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60" w:lineRule="exact"/>
              <w:ind w:left="0" w:leftChars="0" w:right="0" w:rightChars="0"/>
              <w:jc w:val="center"/>
              <w:outlineLvl w:val="9"/>
              <w:rPr>
                <w:rFonts w:ascii="方正仿宋_GBK" w:hAnsi="方正仿宋_GBK" w:eastAsia="方正仿宋_GBK" w:cs="方正仿宋_GBK"/>
                <w:color w:val="000000"/>
                <w:sz w:val="24"/>
                <w:szCs w:val="24"/>
              </w:rPr>
            </w:pP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立方米</w:t>
            </w:r>
          </w:p>
        </w:tc>
        <w:tc>
          <w:tcPr>
            <w:tcW w:w="14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rPr>
              <w:t>50</w:t>
            </w:r>
          </w:p>
        </w:tc>
        <w:tc>
          <w:tcPr>
            <w:tcW w:w="29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60" w:lineRule="exact"/>
              <w:ind w:left="0" w:leftChars="0" w:right="0" w:rightChars="0"/>
              <w:jc w:val="center"/>
              <w:outlineLvl w:val="9"/>
              <w:rPr>
                <w:rFonts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454" w:hRule="exact"/>
          <w:jc w:val="center"/>
        </w:trPr>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卷帘门</w:t>
            </w:r>
          </w:p>
        </w:tc>
        <w:tc>
          <w:tcPr>
            <w:tcW w:w="16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60" w:lineRule="exact"/>
              <w:ind w:left="0" w:leftChars="0" w:right="0" w:rightChars="0"/>
              <w:jc w:val="center"/>
              <w:outlineLvl w:val="9"/>
              <w:rPr>
                <w:rFonts w:ascii="方正仿宋_GBK" w:hAnsi="方正仿宋_GBK" w:eastAsia="方正仿宋_GBK" w:cs="方正仿宋_GBK"/>
                <w:color w:val="000000"/>
                <w:sz w:val="24"/>
                <w:szCs w:val="24"/>
              </w:rPr>
            </w:pP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平方米</w:t>
            </w:r>
          </w:p>
        </w:tc>
        <w:tc>
          <w:tcPr>
            <w:tcW w:w="14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w:t>
            </w:r>
            <w:r>
              <w:rPr>
                <w:rFonts w:hint="eastAsia" w:ascii="Times New Roman" w:hAnsi="Times New Roman" w:eastAsia="方正仿宋_GBK" w:cs="Times New Roman"/>
                <w:color w:val="000000"/>
                <w:kern w:val="0"/>
                <w:sz w:val="24"/>
                <w:szCs w:val="24"/>
              </w:rPr>
              <w:t>50</w:t>
            </w:r>
          </w:p>
        </w:tc>
        <w:tc>
          <w:tcPr>
            <w:tcW w:w="29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60" w:lineRule="exact"/>
              <w:ind w:left="0" w:leftChars="0" w:right="0" w:rightChars="0"/>
              <w:jc w:val="center"/>
              <w:outlineLvl w:val="9"/>
              <w:rPr>
                <w:rFonts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454" w:hRule="exact"/>
          <w:jc w:val="center"/>
        </w:trPr>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入户防盗门</w:t>
            </w:r>
          </w:p>
        </w:tc>
        <w:tc>
          <w:tcPr>
            <w:tcW w:w="16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60" w:lineRule="exact"/>
              <w:ind w:left="0" w:leftChars="0" w:right="0" w:rightChars="0"/>
              <w:jc w:val="center"/>
              <w:outlineLvl w:val="9"/>
              <w:rPr>
                <w:rFonts w:ascii="方正仿宋_GBK" w:hAnsi="方正仿宋_GBK" w:eastAsia="方正仿宋_GBK" w:cs="方正仿宋_GBK"/>
                <w:color w:val="000000"/>
                <w:sz w:val="24"/>
                <w:szCs w:val="24"/>
              </w:rPr>
            </w:pP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平方米</w:t>
            </w:r>
          </w:p>
        </w:tc>
        <w:tc>
          <w:tcPr>
            <w:tcW w:w="14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240</w:t>
            </w:r>
          </w:p>
        </w:tc>
        <w:tc>
          <w:tcPr>
            <w:tcW w:w="29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60" w:lineRule="exact"/>
              <w:ind w:left="0" w:leftChars="0" w:right="0" w:rightChars="0"/>
              <w:jc w:val="center"/>
              <w:outlineLvl w:val="9"/>
              <w:rPr>
                <w:rFonts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454" w:hRule="exact"/>
          <w:jc w:val="center"/>
        </w:trPr>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防盗网</w:t>
            </w:r>
          </w:p>
        </w:tc>
        <w:tc>
          <w:tcPr>
            <w:tcW w:w="16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firstLine="240" w:firstLineChars="10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不锈钢、钢筋</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平方米</w:t>
            </w:r>
          </w:p>
        </w:tc>
        <w:tc>
          <w:tcPr>
            <w:tcW w:w="14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60</w:t>
            </w:r>
          </w:p>
        </w:tc>
        <w:tc>
          <w:tcPr>
            <w:tcW w:w="29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60" w:lineRule="exact"/>
              <w:ind w:left="0" w:leftChars="0" w:right="0" w:rightChars="0"/>
              <w:jc w:val="center"/>
              <w:outlineLvl w:val="9"/>
              <w:rPr>
                <w:rFonts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644" w:hRule="exact"/>
          <w:jc w:val="center"/>
        </w:trPr>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光纤电视迁移补偿</w:t>
            </w:r>
          </w:p>
        </w:tc>
        <w:tc>
          <w:tcPr>
            <w:tcW w:w="435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700元/户</w:t>
            </w:r>
          </w:p>
        </w:tc>
        <w:tc>
          <w:tcPr>
            <w:tcW w:w="2919" w:type="dxa"/>
            <w:gridSpan w:val="3"/>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60" w:lineRule="exact"/>
              <w:ind w:left="0" w:leftChars="0" w:right="0" w:rightChars="0"/>
              <w:jc w:val="left"/>
              <w:outlineLvl w:val="9"/>
              <w:rPr>
                <w:rFonts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788" w:hRule="exact"/>
          <w:jc w:val="center"/>
        </w:trPr>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民用天然气专户迁移补偿</w:t>
            </w:r>
          </w:p>
        </w:tc>
        <w:tc>
          <w:tcPr>
            <w:tcW w:w="435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3800元/户</w:t>
            </w:r>
          </w:p>
        </w:tc>
        <w:tc>
          <w:tcPr>
            <w:tcW w:w="2919" w:type="dxa"/>
            <w:gridSpan w:val="3"/>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60" w:lineRule="exact"/>
              <w:ind w:left="0" w:leftChars="0" w:right="0" w:rightChars="0"/>
              <w:jc w:val="center"/>
              <w:outlineLvl w:val="9"/>
              <w:rPr>
                <w:rFonts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644" w:hRule="exact"/>
          <w:jc w:val="center"/>
        </w:trPr>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水专户迁移</w:t>
            </w:r>
          </w:p>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补偿</w:t>
            </w:r>
          </w:p>
        </w:tc>
        <w:tc>
          <w:tcPr>
            <w:tcW w:w="435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671元/户</w:t>
            </w:r>
          </w:p>
        </w:tc>
        <w:tc>
          <w:tcPr>
            <w:tcW w:w="2919" w:type="dxa"/>
            <w:gridSpan w:val="3"/>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60" w:lineRule="exact"/>
              <w:ind w:left="0" w:leftChars="0" w:right="0" w:rightChars="0"/>
              <w:jc w:val="center"/>
              <w:outlineLvl w:val="9"/>
              <w:rPr>
                <w:rFonts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644" w:hRule="exact"/>
          <w:jc w:val="center"/>
        </w:trPr>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居民用电迁移补偿</w:t>
            </w:r>
          </w:p>
        </w:tc>
        <w:tc>
          <w:tcPr>
            <w:tcW w:w="435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600元/户</w:t>
            </w:r>
          </w:p>
        </w:tc>
        <w:tc>
          <w:tcPr>
            <w:tcW w:w="2919" w:type="dxa"/>
            <w:gridSpan w:val="3"/>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60" w:lineRule="exact"/>
              <w:ind w:left="0" w:leftChars="0" w:right="0" w:rightChars="0"/>
              <w:jc w:val="center"/>
              <w:outlineLvl w:val="9"/>
              <w:rPr>
                <w:rFonts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907" w:hRule="exact"/>
          <w:jc w:val="center"/>
        </w:trPr>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商业用电补偿（三相动力电）</w:t>
            </w:r>
          </w:p>
        </w:tc>
        <w:tc>
          <w:tcPr>
            <w:tcW w:w="435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jc w:val="center"/>
              <w:textAlignment w:val="center"/>
              <w:outlineLvl w:val="9"/>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1850元/户</w:t>
            </w:r>
          </w:p>
        </w:tc>
        <w:tc>
          <w:tcPr>
            <w:tcW w:w="2919" w:type="dxa"/>
            <w:gridSpan w:val="3"/>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60" w:lineRule="exact"/>
              <w:ind w:left="0" w:leftChars="0" w:right="0" w:rightChars="0"/>
              <w:jc w:val="center"/>
              <w:outlineLvl w:val="9"/>
              <w:rPr>
                <w:rFonts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gridAfter w:val="1"/>
          <w:wAfter w:w="420" w:type="dxa"/>
          <w:trHeight w:val="698" w:hRule="atLeast"/>
          <w:jc w:val="center"/>
        </w:trPr>
        <w:tc>
          <w:tcPr>
            <w:tcW w:w="8440" w:type="dxa"/>
            <w:gridSpan w:val="9"/>
            <w:tcBorders>
              <w:top w:val="nil"/>
              <w:left w:val="nil"/>
              <w:bottom w:val="nil"/>
              <w:right w:val="nil"/>
            </w:tcBorders>
            <w:tcMar>
              <w:top w:w="15" w:type="dxa"/>
              <w:left w:w="15" w:type="dxa"/>
              <w:right w:w="15" w:type="dxa"/>
            </w:tcMar>
            <w:vAlign w:val="center"/>
          </w:tcPr>
          <w:p>
            <w:pPr>
              <w:widowControl/>
              <w:textAlignment w:val="center"/>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kern w:val="0"/>
                <w:sz w:val="32"/>
                <w:szCs w:val="32"/>
              </w:rPr>
              <w:t>附件6</w:t>
            </w:r>
          </w:p>
        </w:tc>
      </w:tr>
      <w:tr>
        <w:tblPrEx>
          <w:tblCellMar>
            <w:top w:w="0" w:type="dxa"/>
            <w:left w:w="0" w:type="dxa"/>
            <w:bottom w:w="0" w:type="dxa"/>
            <w:right w:w="0" w:type="dxa"/>
          </w:tblCellMar>
        </w:tblPrEx>
        <w:trPr>
          <w:gridAfter w:val="1"/>
          <w:wAfter w:w="420" w:type="dxa"/>
          <w:trHeight w:val="1139" w:hRule="atLeast"/>
          <w:jc w:val="center"/>
        </w:trPr>
        <w:tc>
          <w:tcPr>
            <w:tcW w:w="8440" w:type="dxa"/>
            <w:gridSpan w:val="9"/>
            <w:tcBorders>
              <w:top w:val="nil"/>
              <w:left w:val="nil"/>
              <w:bottom w:val="nil"/>
              <w:right w:val="nil"/>
            </w:tcBorders>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sz w:val="36"/>
                <w:szCs w:val="36"/>
              </w:rPr>
            </w:pPr>
            <w:r>
              <w:rPr>
                <w:rFonts w:ascii="方正小标宋_GBK" w:hAnsi="方正小标宋_GBK" w:eastAsia="方正小标宋_GBK" w:cs="方正小标宋_GBK"/>
                <w:color w:val="000000"/>
                <w:kern w:val="0"/>
                <w:sz w:val="36"/>
                <w:szCs w:val="36"/>
              </w:rPr>
              <w:t>南川区集体土地上房屋拆迁搬迁补助及奖励费额标准</w:t>
            </w:r>
          </w:p>
        </w:tc>
      </w:tr>
      <w:tr>
        <w:tblPrEx>
          <w:tblCellMar>
            <w:top w:w="0" w:type="dxa"/>
            <w:left w:w="0" w:type="dxa"/>
            <w:bottom w:w="0" w:type="dxa"/>
            <w:right w:w="0" w:type="dxa"/>
          </w:tblCellMar>
        </w:tblPrEx>
        <w:trPr>
          <w:gridAfter w:val="1"/>
          <w:wAfter w:w="420" w:type="dxa"/>
          <w:trHeight w:val="651" w:hRule="atLeast"/>
          <w:jc w:val="center"/>
        </w:trPr>
        <w:tc>
          <w:tcPr>
            <w:tcW w:w="167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名 称</w:t>
            </w:r>
          </w:p>
        </w:tc>
        <w:tc>
          <w:tcPr>
            <w:tcW w:w="4769"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标准</w:t>
            </w:r>
          </w:p>
        </w:tc>
        <w:tc>
          <w:tcPr>
            <w:tcW w:w="199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备注</w:t>
            </w:r>
          </w:p>
        </w:tc>
      </w:tr>
      <w:tr>
        <w:tblPrEx>
          <w:tblCellMar>
            <w:top w:w="0" w:type="dxa"/>
            <w:left w:w="0" w:type="dxa"/>
            <w:bottom w:w="0" w:type="dxa"/>
            <w:right w:w="0" w:type="dxa"/>
          </w:tblCellMar>
        </w:tblPrEx>
        <w:trPr>
          <w:gridAfter w:val="1"/>
          <w:wAfter w:w="420" w:type="dxa"/>
          <w:trHeight w:val="609" w:hRule="atLeast"/>
          <w:jc w:val="center"/>
        </w:trPr>
        <w:tc>
          <w:tcPr>
            <w:tcW w:w="167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黑体_GBK" w:hAnsi="方正黑体_GBK" w:eastAsia="方正黑体_GBK" w:cs="方正黑体_GBK"/>
                <w:color w:val="000000"/>
                <w:sz w:val="28"/>
                <w:szCs w:val="28"/>
              </w:rPr>
            </w:pPr>
          </w:p>
        </w:tc>
        <w:tc>
          <w:tcPr>
            <w:tcW w:w="1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一类区域</w:t>
            </w:r>
          </w:p>
        </w:tc>
        <w:tc>
          <w:tcPr>
            <w:tcW w:w="147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二类区域</w:t>
            </w:r>
          </w:p>
        </w:tc>
        <w:tc>
          <w:tcPr>
            <w:tcW w:w="18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三类区域</w:t>
            </w:r>
          </w:p>
        </w:tc>
        <w:tc>
          <w:tcPr>
            <w:tcW w:w="199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黑体_GBK" w:hAnsi="方正黑体_GBK" w:eastAsia="方正黑体_GBK" w:cs="方正黑体_GBK"/>
                <w:color w:val="000000"/>
                <w:sz w:val="28"/>
                <w:szCs w:val="28"/>
              </w:rPr>
            </w:pPr>
          </w:p>
        </w:tc>
      </w:tr>
      <w:tr>
        <w:tblPrEx>
          <w:tblCellMar>
            <w:top w:w="0" w:type="dxa"/>
            <w:left w:w="0" w:type="dxa"/>
            <w:bottom w:w="0" w:type="dxa"/>
            <w:right w:w="0" w:type="dxa"/>
          </w:tblCellMar>
        </w:tblPrEx>
        <w:trPr>
          <w:gridAfter w:val="1"/>
          <w:wAfter w:w="420" w:type="dxa"/>
          <w:trHeight w:val="1035" w:hRule="atLeast"/>
          <w:jc w:val="center"/>
        </w:trPr>
        <w:tc>
          <w:tcPr>
            <w:tcW w:w="16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方正黑体_GBK" w:hAnsi="方正黑体_GBK" w:eastAsia="方正黑体_GBK" w:cs="方正黑体_GBK"/>
                <w:color w:val="000000"/>
                <w:sz w:val="28"/>
                <w:szCs w:val="28"/>
              </w:rPr>
            </w:pPr>
            <w:r>
              <w:rPr>
                <w:rFonts w:hint="eastAsia" w:ascii="Times New Roman" w:hAnsi="Times New Roman" w:eastAsia="方正仿宋_GBK" w:cs="Times New Roman"/>
                <w:kern w:val="0"/>
                <w:sz w:val="24"/>
                <w:szCs w:val="24"/>
              </w:rPr>
              <w:t>新自建住房宅基地补贴</w:t>
            </w:r>
          </w:p>
        </w:tc>
        <w:tc>
          <w:tcPr>
            <w:tcW w:w="4769"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kern w:val="0"/>
                <w:sz w:val="28"/>
                <w:szCs w:val="28"/>
              </w:rPr>
            </w:pPr>
            <w:r>
              <w:rPr>
                <w:rFonts w:hint="eastAsia" w:ascii="Times New Roman" w:hAnsi="Times New Roman" w:eastAsia="方正仿宋_GBK" w:cs="Times New Roman"/>
                <w:color w:val="000000"/>
                <w:kern w:val="0"/>
                <w:sz w:val="24"/>
                <w:szCs w:val="24"/>
              </w:rPr>
              <w:t>3人及以下9000元/户，4人12000元/户，5人及以上15000元/户</w:t>
            </w:r>
          </w:p>
        </w:tc>
        <w:tc>
          <w:tcPr>
            <w:tcW w:w="1997" w:type="dxa"/>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黑体_GBK" w:hAnsi="方正黑体_GBK" w:eastAsia="方正黑体_GBK" w:cs="方正黑体_GBK"/>
                <w:color w:val="000000"/>
                <w:sz w:val="28"/>
                <w:szCs w:val="28"/>
              </w:rPr>
            </w:pPr>
          </w:p>
        </w:tc>
      </w:tr>
      <w:tr>
        <w:tblPrEx>
          <w:tblCellMar>
            <w:top w:w="0" w:type="dxa"/>
            <w:left w:w="0" w:type="dxa"/>
            <w:bottom w:w="0" w:type="dxa"/>
            <w:right w:w="0" w:type="dxa"/>
          </w:tblCellMar>
        </w:tblPrEx>
        <w:trPr>
          <w:gridAfter w:val="1"/>
          <w:wAfter w:w="420" w:type="dxa"/>
          <w:trHeight w:val="1035" w:hRule="atLeast"/>
          <w:jc w:val="center"/>
        </w:trPr>
        <w:tc>
          <w:tcPr>
            <w:tcW w:w="16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搬迁</w:t>
            </w:r>
            <w:r>
              <w:rPr>
                <w:rFonts w:hint="eastAsia" w:ascii="Times New Roman" w:hAnsi="Times New Roman" w:eastAsia="方正仿宋_GBK" w:cs="Times New Roman"/>
                <w:kern w:val="0"/>
                <w:sz w:val="24"/>
                <w:szCs w:val="24"/>
              </w:rPr>
              <w:t>费</w:t>
            </w:r>
          </w:p>
        </w:tc>
        <w:tc>
          <w:tcPr>
            <w:tcW w:w="4769"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3人及以下的1500元/户·次，4人的2000元/户·次，5人及以上的2500元/户·次</w:t>
            </w:r>
          </w:p>
        </w:tc>
        <w:tc>
          <w:tcPr>
            <w:tcW w:w="1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按两次计算</w:t>
            </w:r>
          </w:p>
        </w:tc>
      </w:tr>
      <w:tr>
        <w:tblPrEx>
          <w:tblCellMar>
            <w:top w:w="0" w:type="dxa"/>
            <w:left w:w="0" w:type="dxa"/>
            <w:bottom w:w="0" w:type="dxa"/>
            <w:right w:w="0" w:type="dxa"/>
          </w:tblCellMar>
        </w:tblPrEx>
        <w:trPr>
          <w:gridAfter w:val="1"/>
          <w:wAfter w:w="420" w:type="dxa"/>
          <w:trHeight w:val="1627" w:hRule="atLeast"/>
          <w:jc w:val="center"/>
        </w:trPr>
        <w:tc>
          <w:tcPr>
            <w:tcW w:w="16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临时安置费</w:t>
            </w:r>
          </w:p>
        </w:tc>
        <w:tc>
          <w:tcPr>
            <w:tcW w:w="1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1—4人户1000元/月</w:t>
            </w:r>
          </w:p>
        </w:tc>
        <w:tc>
          <w:tcPr>
            <w:tcW w:w="147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1—4人户</w:t>
            </w:r>
          </w:p>
          <w:p>
            <w:pPr>
              <w:widowControl/>
              <w:spacing w:line="300" w:lineRule="exact"/>
              <w:jc w:val="center"/>
              <w:textAlignment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800元/月</w:t>
            </w:r>
          </w:p>
        </w:tc>
        <w:tc>
          <w:tcPr>
            <w:tcW w:w="18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1—4人户</w:t>
            </w:r>
          </w:p>
          <w:p>
            <w:pPr>
              <w:widowControl/>
              <w:spacing w:line="300" w:lineRule="exact"/>
              <w:jc w:val="center"/>
              <w:textAlignment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600元/月</w:t>
            </w:r>
          </w:p>
        </w:tc>
        <w:tc>
          <w:tcPr>
            <w:tcW w:w="1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1.过渡期限在房屋拆迁补偿安置方案中确定；2.4人以上每增加1人增加100元/月。</w:t>
            </w:r>
          </w:p>
        </w:tc>
      </w:tr>
      <w:tr>
        <w:tblPrEx>
          <w:tblCellMar>
            <w:top w:w="0" w:type="dxa"/>
            <w:left w:w="0" w:type="dxa"/>
            <w:bottom w:w="0" w:type="dxa"/>
            <w:right w:w="0" w:type="dxa"/>
          </w:tblCellMar>
        </w:tblPrEx>
        <w:trPr>
          <w:gridAfter w:val="1"/>
          <w:wAfter w:w="420" w:type="dxa"/>
          <w:trHeight w:val="689" w:hRule="atLeast"/>
          <w:jc w:val="center"/>
        </w:trPr>
        <w:tc>
          <w:tcPr>
            <w:tcW w:w="16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sz w:val="24"/>
                <w:szCs w:val="24"/>
              </w:rPr>
            </w:pPr>
            <w:r>
              <w:rPr>
                <w:rFonts w:ascii="Times New Roman" w:hAnsi="Times New Roman" w:eastAsia="方正仿宋_GBK" w:cs="Times New Roman"/>
                <w:kern w:val="0"/>
                <w:sz w:val="24"/>
                <w:szCs w:val="24"/>
              </w:rPr>
              <w:t>货币安置奖励</w:t>
            </w:r>
          </w:p>
        </w:tc>
        <w:tc>
          <w:tcPr>
            <w:tcW w:w="4769"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sz w:val="24"/>
                <w:szCs w:val="24"/>
              </w:rPr>
            </w:pPr>
            <w:r>
              <w:rPr>
                <w:rFonts w:hint="eastAsia" w:ascii="Times New Roman" w:hAnsi="Times New Roman" w:eastAsia="方正仿宋_GBK" w:cs="Times New Roman"/>
                <w:kern w:val="0"/>
                <w:sz w:val="24"/>
                <w:szCs w:val="24"/>
              </w:rPr>
              <w:t>700元/㎡</w:t>
            </w:r>
          </w:p>
        </w:tc>
        <w:tc>
          <w:tcPr>
            <w:tcW w:w="1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按应安置面积计算</w:t>
            </w:r>
          </w:p>
        </w:tc>
      </w:tr>
      <w:tr>
        <w:tblPrEx>
          <w:tblCellMar>
            <w:top w:w="0" w:type="dxa"/>
            <w:left w:w="0" w:type="dxa"/>
            <w:bottom w:w="0" w:type="dxa"/>
            <w:right w:w="0" w:type="dxa"/>
          </w:tblCellMar>
        </w:tblPrEx>
        <w:trPr>
          <w:gridAfter w:val="1"/>
          <w:wAfter w:w="420" w:type="dxa"/>
          <w:trHeight w:val="701" w:hRule="atLeast"/>
          <w:jc w:val="center"/>
        </w:trPr>
        <w:tc>
          <w:tcPr>
            <w:tcW w:w="16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kern w:val="0"/>
                <w:sz w:val="24"/>
                <w:szCs w:val="24"/>
              </w:rPr>
            </w:pPr>
            <w:r>
              <w:rPr>
                <w:rFonts w:hint="eastAsia" w:ascii="Times New Roman" w:hAnsi="Times New Roman" w:eastAsia="方正仿宋_GBK" w:cs="Times New Roman"/>
                <w:kern w:val="0"/>
                <w:sz w:val="24"/>
                <w:szCs w:val="24"/>
              </w:rPr>
              <w:t>提前搬迁奖励</w:t>
            </w:r>
          </w:p>
        </w:tc>
        <w:tc>
          <w:tcPr>
            <w:tcW w:w="4769"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3</w:t>
            </w:r>
            <w:r>
              <w:rPr>
                <w:rFonts w:ascii="Times New Roman" w:hAnsi="Times New Roman" w:eastAsia="方正仿宋_GBK" w:cs="Times New Roman"/>
                <w:kern w:val="0"/>
                <w:sz w:val="24"/>
                <w:szCs w:val="24"/>
              </w:rPr>
              <w:t>000元/人</w:t>
            </w:r>
          </w:p>
        </w:tc>
        <w:tc>
          <w:tcPr>
            <w:tcW w:w="1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ascii="Times New Roman" w:hAnsi="Times New Roman" w:eastAsia="方正仿宋_GBK" w:cs="Times New Roman"/>
                <w:sz w:val="24"/>
                <w:szCs w:val="24"/>
              </w:rPr>
            </w:pPr>
          </w:p>
        </w:tc>
      </w:tr>
      <w:tr>
        <w:tblPrEx>
          <w:tblCellMar>
            <w:top w:w="0" w:type="dxa"/>
            <w:left w:w="0" w:type="dxa"/>
            <w:bottom w:w="0" w:type="dxa"/>
            <w:right w:w="0" w:type="dxa"/>
          </w:tblCellMar>
        </w:tblPrEx>
        <w:trPr>
          <w:gridAfter w:val="1"/>
          <w:wAfter w:w="420" w:type="dxa"/>
          <w:trHeight w:val="939" w:hRule="atLeast"/>
          <w:jc w:val="center"/>
        </w:trPr>
        <w:tc>
          <w:tcPr>
            <w:tcW w:w="1674"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rPr>
              <w:t>农村房屋改作其他用途及农村设施用房提前搬迁奖励</w:t>
            </w:r>
          </w:p>
        </w:tc>
        <w:tc>
          <w:tcPr>
            <w:tcW w:w="4769"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rPr>
              <w:t>规模化畜禽养殖、水产养殖、商业服务类等按搬迁补助费的10%计算提前搬迁奖励</w:t>
            </w:r>
          </w:p>
        </w:tc>
        <w:tc>
          <w:tcPr>
            <w:tcW w:w="199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rPr>
              <w:t>对</w:t>
            </w:r>
            <w:r>
              <w:rPr>
                <w:rFonts w:ascii="Times New Roman" w:hAnsi="Times New Roman" w:eastAsia="方正仿宋_GBK" w:cs="Times New Roman"/>
                <w:color w:val="000000"/>
                <w:kern w:val="0"/>
                <w:sz w:val="24"/>
                <w:szCs w:val="24"/>
              </w:rPr>
              <w:t>持有合法证照且从事生产经营活动的</w:t>
            </w:r>
            <w:r>
              <w:rPr>
                <w:rFonts w:hint="eastAsia" w:ascii="Times New Roman" w:hAnsi="Times New Roman" w:eastAsia="方正仿宋_GBK" w:cs="Times New Roman"/>
                <w:color w:val="000000"/>
                <w:kern w:val="0"/>
                <w:sz w:val="24"/>
                <w:szCs w:val="24"/>
              </w:rPr>
              <w:t>，在规定期限内自行搬迁并腾退土地，根据情况给予提前搬迁奖励。</w:t>
            </w:r>
          </w:p>
        </w:tc>
      </w:tr>
      <w:tr>
        <w:tblPrEx>
          <w:tblCellMar>
            <w:top w:w="0" w:type="dxa"/>
            <w:left w:w="0" w:type="dxa"/>
            <w:bottom w:w="0" w:type="dxa"/>
            <w:right w:w="0" w:type="dxa"/>
          </w:tblCellMar>
        </w:tblPrEx>
        <w:trPr>
          <w:gridAfter w:val="1"/>
          <w:wAfter w:w="420" w:type="dxa"/>
          <w:trHeight w:val="1587" w:hRule="atLeast"/>
          <w:jc w:val="center"/>
        </w:trPr>
        <w:tc>
          <w:tcPr>
            <w:tcW w:w="1674"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pPr>
          </w:p>
        </w:tc>
        <w:tc>
          <w:tcPr>
            <w:tcW w:w="4769"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sz w:val="24"/>
                <w:szCs w:val="24"/>
              </w:rPr>
            </w:pPr>
            <w:r>
              <w:rPr>
                <w:rFonts w:hint="eastAsia" w:ascii="Times New Roman" w:hAnsi="Times New Roman" w:eastAsia="方正仿宋_GBK" w:cs="Times New Roman"/>
                <w:color w:val="000000"/>
                <w:kern w:val="0"/>
                <w:sz w:val="24"/>
                <w:szCs w:val="24"/>
              </w:rPr>
              <w:t>规模化苗木种植、工业类等按苗木或设备评估净值的10%计算提前搬迁奖励</w:t>
            </w:r>
          </w:p>
        </w:tc>
        <w:tc>
          <w:tcPr>
            <w:tcW w:w="199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p>
        </w:tc>
      </w:tr>
    </w:tbl>
    <w:p>
      <w:pPr>
        <w:spacing w:line="240" w:lineRule="exact"/>
      </w:pPr>
    </w:p>
    <w:p>
      <w:pPr>
        <w:pStyle w:val="16"/>
      </w:pPr>
    </w:p>
    <w:p>
      <w:pPr>
        <w:pStyle w:val="16"/>
      </w:pPr>
    </w:p>
    <w:p>
      <w:pPr>
        <w:pStyle w:val="16"/>
      </w:pPr>
    </w:p>
    <w:p>
      <w:pPr>
        <w:pStyle w:val="16"/>
      </w:pPr>
      <w:r>
        <w:rPr>
          <w:rFonts w:hint="eastAsia" w:ascii="方正黑体_GBK" w:hAnsi="方正黑体_GBK" w:eastAsia="方正黑体_GBK" w:cs="方正黑体_GBK"/>
          <w:color w:val="000000"/>
          <w:kern w:val="0"/>
          <w:sz w:val="32"/>
          <w:szCs w:val="32"/>
        </w:rPr>
        <w:t>附件7</w:t>
      </w:r>
    </w:p>
    <w:p>
      <w:pPr>
        <w:pStyle w:val="16"/>
        <w:jc w:val="center"/>
        <w:rPr>
          <w:rFonts w:ascii="方正小标宋_GBK" w:hAnsi="方正小标宋_GBK" w:eastAsia="方正小标宋_GBK" w:cs="方正小标宋_GBK"/>
          <w:color w:val="000000"/>
          <w:kern w:val="0"/>
          <w:sz w:val="36"/>
          <w:szCs w:val="36"/>
        </w:rPr>
      </w:pPr>
      <w:r>
        <w:rPr>
          <w:rFonts w:ascii="方正小标宋_GBK" w:hAnsi="方正小标宋_GBK" w:eastAsia="方正小标宋_GBK" w:cs="方正小标宋_GBK"/>
          <w:color w:val="000000"/>
          <w:kern w:val="0"/>
          <w:sz w:val="36"/>
          <w:szCs w:val="36"/>
        </w:rPr>
        <w:t>南川区畜禽</w:t>
      </w:r>
      <w:r>
        <w:rPr>
          <w:rFonts w:hint="eastAsia" w:ascii="方正小标宋_GBK" w:hAnsi="方正小标宋_GBK" w:eastAsia="方正小标宋_GBK" w:cs="方正小标宋_GBK"/>
          <w:color w:val="000000"/>
          <w:kern w:val="0"/>
          <w:sz w:val="36"/>
          <w:szCs w:val="36"/>
        </w:rPr>
        <w:t>水产</w:t>
      </w:r>
      <w:r>
        <w:rPr>
          <w:rFonts w:ascii="方正小标宋_GBK" w:hAnsi="方正小标宋_GBK" w:eastAsia="方正小标宋_GBK" w:cs="方正小标宋_GBK"/>
          <w:color w:val="000000"/>
          <w:kern w:val="0"/>
          <w:sz w:val="36"/>
          <w:szCs w:val="36"/>
        </w:rPr>
        <w:t>养殖专业户</w:t>
      </w:r>
      <w:r>
        <w:rPr>
          <w:rFonts w:hint="eastAsia" w:ascii="方正小标宋_GBK" w:hAnsi="方正小标宋_GBK" w:eastAsia="方正小标宋_GBK" w:cs="方正小标宋_GBK"/>
          <w:color w:val="000000"/>
          <w:kern w:val="0"/>
          <w:sz w:val="36"/>
          <w:szCs w:val="36"/>
        </w:rPr>
        <w:t>一次性</w:t>
      </w:r>
      <w:r>
        <w:rPr>
          <w:rFonts w:ascii="方正小标宋_GBK" w:hAnsi="方正小标宋_GBK" w:eastAsia="方正小标宋_GBK" w:cs="方正小标宋_GBK"/>
          <w:color w:val="000000"/>
          <w:kern w:val="0"/>
          <w:sz w:val="36"/>
          <w:szCs w:val="36"/>
        </w:rPr>
        <w:t>搬迁补助</w:t>
      </w:r>
      <w:r>
        <w:rPr>
          <w:rFonts w:hint="eastAsia" w:ascii="方正小标宋_GBK" w:hAnsi="方正小标宋_GBK" w:eastAsia="方正小标宋_GBK" w:cs="方正小标宋_GBK"/>
          <w:color w:val="000000"/>
          <w:kern w:val="0"/>
          <w:sz w:val="36"/>
          <w:szCs w:val="36"/>
        </w:rPr>
        <w:t>费</w:t>
      </w:r>
      <w:r>
        <w:rPr>
          <w:rFonts w:ascii="方正小标宋_GBK" w:hAnsi="方正小标宋_GBK" w:eastAsia="方正小标宋_GBK" w:cs="方正小标宋_GBK"/>
          <w:color w:val="000000"/>
          <w:kern w:val="0"/>
          <w:sz w:val="36"/>
          <w:szCs w:val="36"/>
        </w:rPr>
        <w:t>标准</w:t>
      </w:r>
    </w:p>
    <w:p>
      <w:pPr>
        <w:pStyle w:val="16"/>
        <w:ind w:firstLine="6240" w:firstLineChars="2600"/>
      </w:pPr>
      <w:r>
        <w:rPr>
          <w:rFonts w:ascii="仿宋_GB2312" w:hAnsi="宋体" w:eastAsia="仿宋_GB2312" w:cs="仿宋_GB2312"/>
          <w:color w:val="000000"/>
          <w:kern w:val="0"/>
          <w:sz w:val="24"/>
          <w:szCs w:val="24"/>
        </w:rPr>
        <w:t>单位：元/头（只、亩）</w:t>
      </w:r>
    </w:p>
    <w:tbl>
      <w:tblPr>
        <w:tblStyle w:val="10"/>
        <w:tblW w:w="8640" w:type="dxa"/>
        <w:jc w:val="center"/>
        <w:tblLayout w:type="fixed"/>
        <w:tblCellMar>
          <w:top w:w="0" w:type="dxa"/>
          <w:left w:w="0" w:type="dxa"/>
          <w:bottom w:w="0" w:type="dxa"/>
          <w:right w:w="0" w:type="dxa"/>
        </w:tblCellMar>
      </w:tblPr>
      <w:tblGrid>
        <w:gridCol w:w="782"/>
        <w:gridCol w:w="767"/>
        <w:gridCol w:w="1137"/>
        <w:gridCol w:w="2025"/>
        <w:gridCol w:w="1240"/>
        <w:gridCol w:w="1124"/>
        <w:gridCol w:w="1565"/>
      </w:tblGrid>
      <w:tr>
        <w:tblPrEx>
          <w:tblCellMar>
            <w:top w:w="0" w:type="dxa"/>
            <w:left w:w="0" w:type="dxa"/>
            <w:bottom w:w="0" w:type="dxa"/>
            <w:right w:w="0" w:type="dxa"/>
          </w:tblCellMar>
        </w:tblPrEx>
        <w:trPr>
          <w:trHeight w:val="884" w:hRule="exact"/>
          <w:jc w:val="center"/>
        </w:trPr>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序号</w:t>
            </w:r>
          </w:p>
        </w:tc>
        <w:tc>
          <w:tcPr>
            <w:tcW w:w="392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类别</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规模</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搬迁补助费</w:t>
            </w:r>
          </w:p>
        </w:tc>
        <w:tc>
          <w:tcPr>
            <w:tcW w:w="1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备注</w:t>
            </w:r>
          </w:p>
        </w:tc>
      </w:tr>
      <w:tr>
        <w:tblPrEx>
          <w:tblCellMar>
            <w:top w:w="0" w:type="dxa"/>
            <w:left w:w="0" w:type="dxa"/>
            <w:bottom w:w="0" w:type="dxa"/>
            <w:right w:w="0" w:type="dxa"/>
          </w:tblCellMar>
        </w:tblPrEx>
        <w:trPr>
          <w:trHeight w:val="522" w:hRule="exact"/>
          <w:jc w:val="center"/>
        </w:trPr>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w:t>
            </w:r>
          </w:p>
        </w:tc>
        <w:tc>
          <w:tcPr>
            <w:tcW w:w="7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畜类</w:t>
            </w:r>
          </w:p>
        </w:tc>
        <w:tc>
          <w:tcPr>
            <w:tcW w:w="11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牛</w:t>
            </w:r>
          </w:p>
        </w:tc>
        <w:tc>
          <w:tcPr>
            <w:tcW w:w="2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奶牛</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5头以上</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840</w:t>
            </w:r>
          </w:p>
        </w:tc>
        <w:tc>
          <w:tcPr>
            <w:tcW w:w="156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1.具备专门生产经营手续；</w:t>
            </w:r>
          </w:p>
          <w:p>
            <w:pPr>
              <w:widowControl/>
              <w:spacing w:line="300" w:lineRule="exact"/>
              <w:jc w:val="left"/>
              <w:textAlignment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2.具备专业的养殖设施；</w:t>
            </w:r>
          </w:p>
          <w:p>
            <w:pPr>
              <w:widowControl/>
              <w:spacing w:line="300" w:lineRule="exact"/>
              <w:jc w:val="left"/>
              <w:textAlignment w:val="center"/>
              <w:rPr>
                <w:rFonts w:ascii="方正仿宋_GBK" w:hAnsi="方正仿宋_GBK" w:eastAsia="方正仿宋_GBK" w:cs="方正仿宋_GBK"/>
                <w:color w:val="000000"/>
                <w:sz w:val="24"/>
                <w:szCs w:val="24"/>
              </w:rPr>
            </w:pPr>
            <w:r>
              <w:rPr>
                <w:rFonts w:ascii="Times New Roman" w:hAnsi="Times New Roman" w:eastAsia="方正仿宋_GBK" w:cs="Times New Roman"/>
                <w:color w:val="000000"/>
                <w:kern w:val="0"/>
                <w:sz w:val="24"/>
                <w:szCs w:val="24"/>
              </w:rPr>
              <w:t>3.未制定具体类别标准的，可参照已制定标准，综合本办法第</w:t>
            </w:r>
            <w:r>
              <w:rPr>
                <w:rFonts w:hint="eastAsia" w:ascii="Times New Roman" w:hAnsi="Times New Roman" w:eastAsia="方正仿宋_GBK" w:cs="Times New Roman"/>
                <w:color w:val="000000"/>
                <w:kern w:val="0"/>
                <w:sz w:val="24"/>
                <w:szCs w:val="24"/>
              </w:rPr>
              <w:t>十</w:t>
            </w:r>
            <w:r>
              <w:rPr>
                <w:rFonts w:ascii="Times New Roman" w:hAnsi="Times New Roman" w:eastAsia="方正仿宋_GBK" w:cs="Times New Roman"/>
                <w:color w:val="000000"/>
                <w:kern w:val="0"/>
                <w:sz w:val="24"/>
                <w:szCs w:val="24"/>
              </w:rPr>
              <w:t>条所述因素评估后予以补助。</w:t>
            </w:r>
            <w:r>
              <w:rPr>
                <w:rFonts w:hint="eastAsia" w:ascii="方正仿宋_GBK" w:hAnsi="方正仿宋_GBK" w:eastAsia="方正仿宋_GBK" w:cs="方正仿宋_GBK"/>
                <w:color w:val="000000"/>
                <w:kern w:val="0"/>
                <w:sz w:val="24"/>
                <w:szCs w:val="24"/>
              </w:rPr>
              <w:t xml:space="preserve">    </w:t>
            </w:r>
          </w:p>
        </w:tc>
      </w:tr>
      <w:tr>
        <w:tblPrEx>
          <w:tblCellMar>
            <w:top w:w="0" w:type="dxa"/>
            <w:left w:w="0" w:type="dxa"/>
            <w:bottom w:w="0" w:type="dxa"/>
            <w:right w:w="0" w:type="dxa"/>
          </w:tblCellMar>
        </w:tblPrEx>
        <w:trPr>
          <w:trHeight w:val="472" w:hRule="exact"/>
          <w:jc w:val="center"/>
        </w:trPr>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2</w:t>
            </w:r>
          </w:p>
        </w:tc>
        <w:tc>
          <w:tcPr>
            <w:tcW w:w="7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1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水牛、肉牛</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10头以上</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360</w:t>
            </w:r>
          </w:p>
        </w:tc>
        <w:tc>
          <w:tcPr>
            <w:tcW w:w="1565"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left"/>
              <w:rPr>
                <w:rFonts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472" w:hRule="exact"/>
          <w:jc w:val="center"/>
        </w:trPr>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3</w:t>
            </w:r>
          </w:p>
        </w:tc>
        <w:tc>
          <w:tcPr>
            <w:tcW w:w="7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1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猪</w:t>
            </w:r>
          </w:p>
        </w:tc>
        <w:tc>
          <w:tcPr>
            <w:tcW w:w="2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经产母猪</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10头以上</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360</w:t>
            </w:r>
          </w:p>
        </w:tc>
        <w:tc>
          <w:tcPr>
            <w:tcW w:w="1565"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left"/>
              <w:rPr>
                <w:rFonts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536" w:hRule="exact"/>
          <w:jc w:val="center"/>
        </w:trPr>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4</w:t>
            </w:r>
          </w:p>
        </w:tc>
        <w:tc>
          <w:tcPr>
            <w:tcW w:w="7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1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50公斤及以上</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50头以上</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180</w:t>
            </w:r>
          </w:p>
        </w:tc>
        <w:tc>
          <w:tcPr>
            <w:tcW w:w="1565"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472" w:hRule="exact"/>
          <w:jc w:val="center"/>
        </w:trPr>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5</w:t>
            </w:r>
          </w:p>
        </w:tc>
        <w:tc>
          <w:tcPr>
            <w:tcW w:w="7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1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50公斤及以下</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50头以上</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150</w:t>
            </w:r>
          </w:p>
        </w:tc>
        <w:tc>
          <w:tcPr>
            <w:tcW w:w="1565"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472" w:hRule="exact"/>
          <w:jc w:val="center"/>
        </w:trPr>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6</w:t>
            </w:r>
          </w:p>
        </w:tc>
        <w:tc>
          <w:tcPr>
            <w:tcW w:w="7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31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羊</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50头以上</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100</w:t>
            </w:r>
          </w:p>
        </w:tc>
        <w:tc>
          <w:tcPr>
            <w:tcW w:w="1565"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472" w:hRule="exact"/>
          <w:jc w:val="center"/>
        </w:trPr>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7</w:t>
            </w:r>
          </w:p>
        </w:tc>
        <w:tc>
          <w:tcPr>
            <w:tcW w:w="7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31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兔（含野兔）</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200只以上</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10</w:t>
            </w:r>
          </w:p>
        </w:tc>
        <w:tc>
          <w:tcPr>
            <w:tcW w:w="1565"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472" w:hRule="exact"/>
          <w:jc w:val="center"/>
        </w:trPr>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8</w:t>
            </w:r>
          </w:p>
        </w:tc>
        <w:tc>
          <w:tcPr>
            <w:tcW w:w="7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禽类</w:t>
            </w:r>
          </w:p>
        </w:tc>
        <w:tc>
          <w:tcPr>
            <w:tcW w:w="11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鸡（含野鸡、珍珠鸡等）</w:t>
            </w:r>
          </w:p>
        </w:tc>
        <w:tc>
          <w:tcPr>
            <w:tcW w:w="2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蛋鸡</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500只以上</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7</w:t>
            </w:r>
          </w:p>
        </w:tc>
        <w:tc>
          <w:tcPr>
            <w:tcW w:w="1565"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472" w:hRule="exact"/>
          <w:jc w:val="center"/>
        </w:trPr>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9</w:t>
            </w:r>
          </w:p>
        </w:tc>
        <w:tc>
          <w:tcPr>
            <w:tcW w:w="7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1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0.5公斤及以上肉鸡</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500只以上</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4</w:t>
            </w:r>
          </w:p>
        </w:tc>
        <w:tc>
          <w:tcPr>
            <w:tcW w:w="1565"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472" w:hRule="exact"/>
          <w:jc w:val="center"/>
        </w:trPr>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10</w:t>
            </w:r>
          </w:p>
        </w:tc>
        <w:tc>
          <w:tcPr>
            <w:tcW w:w="7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鸭</w:t>
            </w:r>
          </w:p>
        </w:tc>
        <w:tc>
          <w:tcPr>
            <w:tcW w:w="2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0.5公斤以上</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500只以上</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4</w:t>
            </w:r>
          </w:p>
        </w:tc>
        <w:tc>
          <w:tcPr>
            <w:tcW w:w="1565"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472" w:hRule="exact"/>
          <w:jc w:val="center"/>
        </w:trPr>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11</w:t>
            </w:r>
          </w:p>
        </w:tc>
        <w:tc>
          <w:tcPr>
            <w:tcW w:w="7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1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鹅</w:t>
            </w:r>
          </w:p>
        </w:tc>
        <w:tc>
          <w:tcPr>
            <w:tcW w:w="2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2公斤以上</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300只以上</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8</w:t>
            </w:r>
          </w:p>
        </w:tc>
        <w:tc>
          <w:tcPr>
            <w:tcW w:w="1565"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rPr>
                <w:rFonts w:ascii="宋体" w:hAnsi="宋体" w:eastAsia="宋体" w:cs="宋体"/>
                <w:color w:val="000000"/>
                <w:sz w:val="22"/>
              </w:rPr>
            </w:pPr>
          </w:p>
        </w:tc>
      </w:tr>
      <w:tr>
        <w:tblPrEx>
          <w:tblCellMar>
            <w:top w:w="0" w:type="dxa"/>
            <w:left w:w="0" w:type="dxa"/>
            <w:bottom w:w="0" w:type="dxa"/>
            <w:right w:w="0" w:type="dxa"/>
          </w:tblCellMar>
        </w:tblPrEx>
        <w:trPr>
          <w:trHeight w:val="472" w:hRule="exact"/>
          <w:jc w:val="center"/>
        </w:trPr>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12</w:t>
            </w:r>
          </w:p>
        </w:tc>
        <w:tc>
          <w:tcPr>
            <w:tcW w:w="7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1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0.5－2公斤</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300只以上</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7</w:t>
            </w:r>
          </w:p>
        </w:tc>
        <w:tc>
          <w:tcPr>
            <w:tcW w:w="1565"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rPr>
                <w:rFonts w:ascii="宋体" w:hAnsi="宋体" w:eastAsia="宋体" w:cs="宋体"/>
                <w:color w:val="000000"/>
                <w:sz w:val="22"/>
              </w:rPr>
            </w:pPr>
          </w:p>
        </w:tc>
      </w:tr>
      <w:tr>
        <w:tblPrEx>
          <w:tblCellMar>
            <w:top w:w="0" w:type="dxa"/>
            <w:left w:w="0" w:type="dxa"/>
            <w:bottom w:w="0" w:type="dxa"/>
            <w:right w:w="0" w:type="dxa"/>
          </w:tblCellMar>
        </w:tblPrEx>
        <w:trPr>
          <w:trHeight w:val="472" w:hRule="exact"/>
          <w:jc w:val="center"/>
        </w:trPr>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13</w:t>
            </w:r>
          </w:p>
        </w:tc>
        <w:tc>
          <w:tcPr>
            <w:tcW w:w="7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1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鸽</w:t>
            </w:r>
          </w:p>
        </w:tc>
        <w:tc>
          <w:tcPr>
            <w:tcW w:w="2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幼鸽</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只</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3</w:t>
            </w:r>
          </w:p>
        </w:tc>
        <w:tc>
          <w:tcPr>
            <w:tcW w:w="1565"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rPr>
                <w:rFonts w:ascii="宋体" w:hAnsi="宋体" w:eastAsia="宋体" w:cs="宋体"/>
                <w:color w:val="000000"/>
                <w:sz w:val="22"/>
              </w:rPr>
            </w:pPr>
          </w:p>
        </w:tc>
      </w:tr>
      <w:tr>
        <w:tblPrEx>
          <w:tblCellMar>
            <w:top w:w="0" w:type="dxa"/>
            <w:left w:w="0" w:type="dxa"/>
            <w:bottom w:w="0" w:type="dxa"/>
            <w:right w:w="0" w:type="dxa"/>
          </w:tblCellMar>
        </w:tblPrEx>
        <w:trPr>
          <w:trHeight w:val="472" w:hRule="exact"/>
          <w:jc w:val="center"/>
        </w:trPr>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14</w:t>
            </w:r>
          </w:p>
        </w:tc>
        <w:tc>
          <w:tcPr>
            <w:tcW w:w="7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1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成品肉鸽</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只</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4</w:t>
            </w:r>
          </w:p>
        </w:tc>
        <w:tc>
          <w:tcPr>
            <w:tcW w:w="1565"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rPr>
                <w:rFonts w:ascii="宋体" w:hAnsi="宋体" w:eastAsia="宋体" w:cs="宋体"/>
                <w:color w:val="000000"/>
                <w:sz w:val="22"/>
              </w:rPr>
            </w:pPr>
          </w:p>
        </w:tc>
      </w:tr>
      <w:tr>
        <w:tblPrEx>
          <w:tblCellMar>
            <w:top w:w="0" w:type="dxa"/>
            <w:left w:w="0" w:type="dxa"/>
            <w:bottom w:w="0" w:type="dxa"/>
            <w:right w:w="0" w:type="dxa"/>
          </w:tblCellMar>
        </w:tblPrEx>
        <w:trPr>
          <w:trHeight w:val="472" w:hRule="exact"/>
          <w:jc w:val="center"/>
        </w:trPr>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15</w:t>
            </w:r>
          </w:p>
        </w:tc>
        <w:tc>
          <w:tcPr>
            <w:tcW w:w="7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11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信鸽</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只</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7</w:t>
            </w:r>
          </w:p>
        </w:tc>
        <w:tc>
          <w:tcPr>
            <w:tcW w:w="1565"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rPr>
                <w:rFonts w:ascii="宋体" w:hAnsi="宋体" w:eastAsia="宋体" w:cs="宋体"/>
                <w:color w:val="000000"/>
                <w:sz w:val="22"/>
              </w:rPr>
            </w:pPr>
          </w:p>
        </w:tc>
      </w:tr>
      <w:tr>
        <w:tblPrEx>
          <w:tblCellMar>
            <w:top w:w="0" w:type="dxa"/>
            <w:left w:w="0" w:type="dxa"/>
            <w:bottom w:w="0" w:type="dxa"/>
            <w:right w:w="0" w:type="dxa"/>
          </w:tblCellMar>
        </w:tblPrEx>
        <w:trPr>
          <w:trHeight w:val="472" w:hRule="exact"/>
          <w:jc w:val="center"/>
        </w:trPr>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16</w:t>
            </w:r>
          </w:p>
        </w:tc>
        <w:tc>
          <w:tcPr>
            <w:tcW w:w="7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水产类</w:t>
            </w:r>
          </w:p>
        </w:tc>
        <w:tc>
          <w:tcPr>
            <w:tcW w:w="31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泥鳅（黄鳝）、蛙等</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亩</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3600</w:t>
            </w:r>
          </w:p>
        </w:tc>
        <w:tc>
          <w:tcPr>
            <w:tcW w:w="1565"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rPr>
                <w:rFonts w:ascii="宋体" w:hAnsi="宋体" w:eastAsia="宋体" w:cs="宋体"/>
                <w:color w:val="000000"/>
                <w:sz w:val="22"/>
              </w:rPr>
            </w:pPr>
          </w:p>
        </w:tc>
      </w:tr>
      <w:tr>
        <w:tblPrEx>
          <w:tblCellMar>
            <w:top w:w="0" w:type="dxa"/>
            <w:left w:w="0" w:type="dxa"/>
            <w:bottom w:w="0" w:type="dxa"/>
            <w:right w:w="0" w:type="dxa"/>
          </w:tblCellMar>
        </w:tblPrEx>
        <w:trPr>
          <w:trHeight w:val="472" w:hRule="exact"/>
          <w:jc w:val="center"/>
        </w:trPr>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17</w:t>
            </w:r>
          </w:p>
        </w:tc>
        <w:tc>
          <w:tcPr>
            <w:tcW w:w="767"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31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鱼类</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亩</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3000</w:t>
            </w:r>
          </w:p>
        </w:tc>
        <w:tc>
          <w:tcPr>
            <w:tcW w:w="1565"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rPr>
                <w:rFonts w:ascii="宋体" w:hAnsi="宋体" w:eastAsia="宋体" w:cs="宋体"/>
                <w:color w:val="000000"/>
                <w:sz w:val="22"/>
              </w:rPr>
            </w:pPr>
          </w:p>
        </w:tc>
      </w:tr>
      <w:tr>
        <w:tblPrEx>
          <w:tblCellMar>
            <w:top w:w="0" w:type="dxa"/>
            <w:left w:w="0" w:type="dxa"/>
            <w:bottom w:w="0" w:type="dxa"/>
            <w:right w:w="0" w:type="dxa"/>
          </w:tblCellMar>
        </w:tblPrEx>
        <w:trPr>
          <w:trHeight w:val="472" w:hRule="exact"/>
          <w:jc w:val="center"/>
        </w:trPr>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18</w:t>
            </w:r>
          </w:p>
        </w:tc>
        <w:tc>
          <w:tcPr>
            <w:tcW w:w="7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eastAsia="方正仿宋_GBK" w:cs="Times New Roman"/>
                <w:color w:val="000000"/>
                <w:sz w:val="24"/>
                <w:szCs w:val="24"/>
              </w:rPr>
            </w:pPr>
          </w:p>
        </w:tc>
        <w:tc>
          <w:tcPr>
            <w:tcW w:w="31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虾类</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亩</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4200</w:t>
            </w:r>
          </w:p>
        </w:tc>
        <w:tc>
          <w:tcPr>
            <w:tcW w:w="1565"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rPr>
                <w:rFonts w:ascii="宋体" w:hAnsi="宋体" w:eastAsia="宋体" w:cs="宋体"/>
                <w:color w:val="000000"/>
                <w:sz w:val="22"/>
              </w:rPr>
            </w:pPr>
          </w:p>
        </w:tc>
      </w:tr>
      <w:tr>
        <w:tblPrEx>
          <w:tblCellMar>
            <w:top w:w="0" w:type="dxa"/>
            <w:left w:w="0" w:type="dxa"/>
            <w:bottom w:w="0" w:type="dxa"/>
            <w:right w:w="0" w:type="dxa"/>
          </w:tblCellMar>
        </w:tblPrEx>
        <w:trPr>
          <w:trHeight w:val="724" w:hRule="exact"/>
          <w:jc w:val="center"/>
        </w:trPr>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19</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其他类</w:t>
            </w:r>
          </w:p>
        </w:tc>
        <w:tc>
          <w:tcPr>
            <w:tcW w:w="31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蜂</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箱</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60</w:t>
            </w:r>
          </w:p>
        </w:tc>
        <w:tc>
          <w:tcPr>
            <w:tcW w:w="156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rPr>
                <w:rFonts w:ascii="宋体" w:hAnsi="宋体" w:eastAsia="宋体" w:cs="宋体"/>
                <w:color w:val="000000"/>
                <w:sz w:val="22"/>
              </w:rPr>
            </w:pPr>
          </w:p>
        </w:tc>
      </w:tr>
    </w:tbl>
    <w:p>
      <w:pPr>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EFD9AD"/>
    <w:multiLevelType w:val="singleLevel"/>
    <w:tmpl w:val="60EFD9A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19E71BD"/>
    <w:rsid w:val="041C42DA"/>
    <w:rsid w:val="04B679C3"/>
    <w:rsid w:val="05F07036"/>
    <w:rsid w:val="06E00104"/>
    <w:rsid w:val="080F63D8"/>
    <w:rsid w:val="09341458"/>
    <w:rsid w:val="098254C2"/>
    <w:rsid w:val="09D97B51"/>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314CDF"/>
    <w:rsid w:val="36FB1DF0"/>
    <w:rsid w:val="395347B5"/>
    <w:rsid w:val="39A232A0"/>
    <w:rsid w:val="39E745AA"/>
    <w:rsid w:val="3B5A6BBB"/>
    <w:rsid w:val="3EDA13A6"/>
    <w:rsid w:val="417B75E9"/>
    <w:rsid w:val="41A03342"/>
    <w:rsid w:val="42F058B7"/>
    <w:rsid w:val="436109F6"/>
    <w:rsid w:val="441A38D4"/>
    <w:rsid w:val="4504239D"/>
    <w:rsid w:val="4BC77339"/>
    <w:rsid w:val="4C9236C5"/>
    <w:rsid w:val="4CC92A6F"/>
    <w:rsid w:val="4E250A85"/>
    <w:rsid w:val="4FFD4925"/>
    <w:rsid w:val="505C172E"/>
    <w:rsid w:val="506405EA"/>
    <w:rsid w:val="52F46F0B"/>
    <w:rsid w:val="532B6A10"/>
    <w:rsid w:val="53D8014D"/>
    <w:rsid w:val="55E064E0"/>
    <w:rsid w:val="572C6D10"/>
    <w:rsid w:val="5DC34279"/>
    <w:rsid w:val="5FBC58EF"/>
    <w:rsid w:val="5FCD688E"/>
    <w:rsid w:val="5FF9BDAA"/>
    <w:rsid w:val="5FFE5333"/>
    <w:rsid w:val="608816D1"/>
    <w:rsid w:val="60EF4E7F"/>
    <w:rsid w:val="648B0A32"/>
    <w:rsid w:val="665233C1"/>
    <w:rsid w:val="687053D4"/>
    <w:rsid w:val="69AC0D42"/>
    <w:rsid w:val="6AD9688B"/>
    <w:rsid w:val="6D0E3F22"/>
    <w:rsid w:val="744E4660"/>
    <w:rsid w:val="753355A2"/>
    <w:rsid w:val="759F1C61"/>
    <w:rsid w:val="769F2DE8"/>
    <w:rsid w:val="76FDEB7C"/>
    <w:rsid w:val="79C65162"/>
    <w:rsid w:val="7C227DC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ascii="Calibri" w:hAnsi="Calibri" w:eastAsia="宋体" w:cs="Times New Roman"/>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HTML Address"/>
    <w:basedOn w:val="1"/>
    <w:qFormat/>
    <w:uiPriority w:val="0"/>
    <w:pPr>
      <w:widowControl/>
      <w:spacing w:before="100" w:beforeAutospacing="1" w:after="100" w:afterAutospacing="1"/>
      <w:jc w:val="left"/>
    </w:pPr>
    <w:rPr>
      <w:rFonts w:ascii="宋体" w:hAnsi="宋体" w:cs="宋体"/>
      <w:kern w:val="0"/>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pPr>
      <w:snapToGrid w:val="0"/>
      <w:spacing w:line="540" w:lineRule="exact"/>
    </w:pPr>
    <w:rPr>
      <w:rFonts w:eastAsia="方正仿宋_GBK"/>
      <w:color w:val="00000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UserStyle_0"/>
    <w:basedOn w:val="1"/>
    <w:qFormat/>
    <w:uiPriority w:val="0"/>
    <w:pPr>
      <w:spacing w:line="540" w:lineRule="exact"/>
      <w:jc w:val="both"/>
      <w:textAlignment w:val="baseline"/>
    </w:pPr>
    <w:rPr>
      <w:rFonts w:ascii="Times New Roman" w:hAnsi="Times New Roman" w:eastAsia="方正仿宋_GBK"/>
      <w:color w:val="000000"/>
      <w:kern w:val="2"/>
      <w:sz w:val="21"/>
      <w:szCs w:val="24"/>
      <w:lang w:val="en-US" w:eastAsia="zh-CN" w:bidi="ar-SA"/>
    </w:rPr>
  </w:style>
  <w:style w:type="paragraph" w:customStyle="1" w:styleId="15">
    <w:name w:val="正文文本 21"/>
    <w:basedOn w:val="1"/>
    <w:qFormat/>
    <w:uiPriority w:val="0"/>
    <w:pPr>
      <w:spacing w:line="540" w:lineRule="exact"/>
    </w:pPr>
    <w:rPr>
      <w:rFonts w:ascii="Times New Roman" w:hAnsi="Times New Roman" w:eastAsia="方正仿宋_GBK"/>
      <w:color w:val="000000"/>
    </w:rPr>
  </w:style>
  <w:style w:type="paragraph" w:customStyle="1" w:styleId="16">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17">
    <w:name w:val="font21"/>
    <w:basedOn w:val="1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9523</Words>
  <Characters>10276</Characters>
  <Lines>1</Lines>
  <Paragraphs>1</Paragraphs>
  <TotalTime>1</TotalTime>
  <ScaleCrop>false</ScaleCrop>
  <LinksUpToDate>false</LinksUpToDate>
  <CharactersWithSpaces>10507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2023-11-20T02:32:46Z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24FA5530485043EEA72E64A96B1BA8BD_13</vt:lpwstr>
  </property>
</Properties>
</file>