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540" w:lineRule="exact"/>
        <w:jc w:val="center"/>
        <w:textAlignment w:val="auto"/>
        <w:rPr>
          <w:rFonts w:hint="eastAsia" w:ascii="方正小标宋_GBK" w:hAnsi="宋体" w:eastAsia="方正小标宋_GBK" w:cs="宋体"/>
          <w:kern w:val="0"/>
          <w:sz w:val="44"/>
          <w:szCs w:val="44"/>
        </w:rPr>
      </w:pPr>
    </w:p>
    <w:p>
      <w:pPr>
        <w:keepNext w:val="0"/>
        <w:keepLines w:val="0"/>
        <w:pageBreakBefore w:val="0"/>
        <w:widowControl/>
        <w:kinsoku/>
        <w:wordWrap/>
        <w:overflowPunct/>
        <w:topLinePunct w:val="0"/>
        <w:autoSpaceDE/>
        <w:autoSpaceDN/>
        <w:bidi w:val="0"/>
        <w:adjustRightInd w:val="0"/>
        <w:snapToGrid w:val="0"/>
        <w:spacing w:line="540" w:lineRule="exact"/>
        <w:jc w:val="center"/>
        <w:textAlignment w:val="auto"/>
        <w:rPr>
          <w:rFonts w:hint="eastAsia" w:ascii="方正小标宋_GBK" w:hAnsi="宋体" w:eastAsia="方正小标宋_GBK" w:cs="宋体"/>
          <w:kern w:val="0"/>
          <w:sz w:val="44"/>
          <w:szCs w:val="44"/>
        </w:rPr>
      </w:pPr>
    </w:p>
    <w:p>
      <w:pPr>
        <w:pageBreakBefore w:val="0"/>
        <w:widowControl/>
        <w:kinsoku/>
        <w:wordWrap/>
        <w:overflowPunct/>
        <w:topLinePunct w:val="0"/>
        <w:autoSpaceDE/>
        <w:autoSpaceDN/>
        <w:bidi w:val="0"/>
        <w:adjustRightInd w:val="0"/>
        <w:snapToGrid w:val="0"/>
        <w:spacing w:line="600" w:lineRule="exact"/>
        <w:jc w:val="center"/>
        <w:textAlignment w:val="auto"/>
        <w:rPr>
          <w:rFonts w:ascii="方正小标宋_GBK" w:hAnsi="宋体" w:eastAsia="方正小标宋_GBK" w:cs="宋体"/>
          <w:kern w:val="0"/>
          <w:sz w:val="44"/>
          <w:szCs w:val="44"/>
        </w:rPr>
      </w:pPr>
      <w:r>
        <w:rPr>
          <w:rFonts w:hint="eastAsia" w:ascii="方正小标宋_GBK" w:hAnsi="宋体" w:eastAsia="方正小标宋_GBK" w:cs="宋体"/>
          <w:kern w:val="0"/>
          <w:sz w:val="44"/>
          <w:szCs w:val="44"/>
        </w:rPr>
        <w:t>重庆市南川区人民政府</w:t>
      </w:r>
    </w:p>
    <w:p>
      <w:pPr>
        <w:pageBreakBefore w:val="0"/>
        <w:widowControl/>
        <w:kinsoku/>
        <w:wordWrap/>
        <w:overflowPunct/>
        <w:topLinePunct w:val="0"/>
        <w:autoSpaceDE/>
        <w:autoSpaceDN/>
        <w:bidi w:val="0"/>
        <w:adjustRightInd w:val="0"/>
        <w:snapToGrid w:val="0"/>
        <w:spacing w:line="600" w:lineRule="exact"/>
        <w:jc w:val="center"/>
        <w:textAlignment w:val="auto"/>
        <w:rPr>
          <w:rFonts w:ascii="方正小标宋_GBK" w:hAnsi="宋体" w:eastAsia="方正小标宋_GBK" w:cs="宋体"/>
          <w:kern w:val="0"/>
          <w:sz w:val="44"/>
          <w:szCs w:val="44"/>
        </w:rPr>
      </w:pPr>
      <w:r>
        <w:rPr>
          <w:rFonts w:hint="eastAsia" w:ascii="方正小标宋_GBK" w:hAnsi="宋体" w:eastAsia="方正小标宋_GBK" w:cs="宋体"/>
          <w:kern w:val="0"/>
          <w:sz w:val="44"/>
          <w:szCs w:val="44"/>
        </w:rPr>
        <w:t>关于公布南川区国有建设用地使用权</w:t>
      </w:r>
    </w:p>
    <w:p>
      <w:pPr>
        <w:pageBreakBefore w:val="0"/>
        <w:widowControl/>
        <w:kinsoku/>
        <w:wordWrap/>
        <w:overflowPunct/>
        <w:topLinePunct w:val="0"/>
        <w:autoSpaceDE/>
        <w:autoSpaceDN/>
        <w:bidi w:val="0"/>
        <w:adjustRightInd w:val="0"/>
        <w:snapToGrid w:val="0"/>
        <w:spacing w:line="600" w:lineRule="exact"/>
        <w:jc w:val="center"/>
        <w:textAlignment w:val="auto"/>
        <w:rPr>
          <w:rFonts w:ascii="方正小标宋_GBK" w:hAnsi="宋体" w:eastAsia="方正小标宋_GBK" w:cs="宋体"/>
          <w:kern w:val="0"/>
          <w:sz w:val="44"/>
          <w:szCs w:val="44"/>
        </w:rPr>
      </w:pPr>
      <w:r>
        <w:rPr>
          <w:rFonts w:hint="eastAsia" w:ascii="方正小标宋_GBK" w:hAnsi="宋体" w:eastAsia="方正小标宋_GBK" w:cs="宋体"/>
          <w:kern w:val="0"/>
          <w:sz w:val="44"/>
          <w:szCs w:val="44"/>
        </w:rPr>
        <w:t>土地级别和基准地价的通知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lang w:val="en-US" w:eastAsia="zh-CN"/>
        </w:rPr>
      </w:pPr>
      <w:r>
        <w:rPr>
          <w:rFonts w:hint="default" w:ascii="Times New Roman" w:hAnsi="Times New Roman" w:eastAsia="方正仿宋_GBK" w:cs="Times New Roman"/>
          <w:b w:val="0"/>
          <w:bCs w:val="0"/>
          <w:sz w:val="32"/>
          <w:szCs w:val="32"/>
        </w:rPr>
        <w:t>南川府</w:t>
      </w:r>
      <w:r>
        <w:rPr>
          <w:rFonts w:hint="eastAsia" w:ascii="Times New Roman" w:hAnsi="Times New Roman" w:eastAsia="方正仿宋_GBK" w:cs="Times New Roman"/>
          <w:b w:val="0"/>
          <w:bCs w:val="0"/>
          <w:sz w:val="32"/>
          <w:szCs w:val="32"/>
          <w:lang w:eastAsia="zh-CN"/>
        </w:rPr>
        <w:t>发</w:t>
      </w:r>
      <w:r>
        <w:rPr>
          <w:rFonts w:hint="default" w:ascii="Times New Roman" w:hAnsi="Times New Roman" w:eastAsia="方正仿宋_GBK" w:cs="Times New Roman"/>
          <w:b w:val="0"/>
          <w:bCs w:val="0"/>
          <w:sz w:val="32"/>
          <w:szCs w:val="32"/>
        </w:rPr>
        <w:t>〔20</w:t>
      </w:r>
      <w:r>
        <w:rPr>
          <w:rFonts w:hint="default" w:ascii="Times New Roman" w:hAnsi="Times New Roman" w:cs="Times New Roman"/>
          <w:b w:val="0"/>
          <w:bCs w:val="0"/>
          <w:sz w:val="32"/>
          <w:szCs w:val="32"/>
          <w:lang w:val="en-US" w:eastAsia="zh-CN"/>
        </w:rPr>
        <w:t>2</w:t>
      </w:r>
      <w:r>
        <w:rPr>
          <w:rFonts w:hint="eastAsia" w:ascii="Times New Roman" w:hAnsi="Times New Roman" w:cs="Times New Roman"/>
          <w:b w:val="0"/>
          <w:bCs w:val="0"/>
          <w:sz w:val="32"/>
          <w:szCs w:val="32"/>
          <w:lang w:val="en-US" w:eastAsia="zh-CN"/>
        </w:rPr>
        <w:t>2</w:t>
      </w:r>
      <w:r>
        <w:rPr>
          <w:rFonts w:hint="default" w:ascii="Times New Roman" w:hAnsi="Times New Roman" w:eastAsia="方正仿宋_GBK" w:cs="Times New Roman"/>
          <w:b w:val="0"/>
          <w:bCs w:val="0"/>
          <w:sz w:val="32"/>
          <w:szCs w:val="32"/>
        </w:rPr>
        <w:t>〕</w:t>
      </w:r>
      <w:r>
        <w:rPr>
          <w:rFonts w:hint="eastAsia" w:ascii="Times New Roman" w:hAnsi="Times New Roman" w:cs="Times New Roman"/>
          <w:b w:val="0"/>
          <w:bCs w:val="0"/>
          <w:sz w:val="32"/>
          <w:szCs w:val="32"/>
          <w:lang w:val="en-US" w:eastAsia="zh-CN"/>
        </w:rPr>
        <w:t>2</w:t>
      </w:r>
      <w:r>
        <w:rPr>
          <w:rFonts w:hint="eastAsia" w:cs="Times New Roman"/>
          <w:b w:val="0"/>
          <w:bCs w:val="0"/>
          <w:sz w:val="32"/>
          <w:szCs w:val="32"/>
          <w:lang w:val="en-US" w:eastAsia="zh-CN"/>
        </w:rPr>
        <w:t>8</w:t>
      </w:r>
      <w:r>
        <w:rPr>
          <w:rFonts w:hint="default" w:ascii="Times New Roman" w:hAnsi="Times New Roman" w:eastAsia="方正仿宋_GBK" w:cs="Times New Roman"/>
          <w:b w:val="0"/>
          <w:bCs w:val="0"/>
          <w:sz w:val="32"/>
          <w:szCs w:val="32"/>
        </w:rPr>
        <w:t>号</w:t>
      </w:r>
    </w:p>
    <w:p>
      <w:pPr>
        <w:pageBreakBefore w:val="0"/>
        <w:widowControl/>
        <w:kinsoku/>
        <w:wordWrap/>
        <w:overflowPunct/>
        <w:topLinePunct w:val="0"/>
        <w:autoSpaceDE/>
        <w:autoSpaceDN/>
        <w:bidi w:val="0"/>
        <w:adjustRightInd w:val="0"/>
        <w:snapToGrid w:val="0"/>
        <w:spacing w:line="600" w:lineRule="exact"/>
        <w:ind w:firstLine="600"/>
        <w:textAlignment w:val="auto"/>
        <w:rPr>
          <w:rFonts w:ascii="方正小标宋_GBK" w:hAnsi="宋体" w:eastAsia="方正小标宋_GBK" w:cs="宋体"/>
          <w:kern w:val="0"/>
          <w:sz w:val="30"/>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jc w:val="left"/>
        <w:textAlignment w:val="auto"/>
        <w:outlineLvl w:val="9"/>
        <w:rPr>
          <w:rFonts w:eastAsia="方正仿宋_GBK"/>
          <w:kern w:val="0"/>
          <w:sz w:val="32"/>
          <w:szCs w:val="32"/>
        </w:rPr>
      </w:pPr>
      <w:r>
        <w:rPr>
          <w:rFonts w:eastAsia="方正仿宋_GBK"/>
          <w:kern w:val="0"/>
          <w:sz w:val="32"/>
          <w:szCs w:val="32"/>
        </w:rPr>
        <w:t>各乡镇人民政府、街道办事处，区政府各部门，有关单位：</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kern w:val="0"/>
          <w:sz w:val="32"/>
          <w:szCs w:val="32"/>
        </w:rPr>
      </w:pPr>
      <w:r>
        <w:rPr>
          <w:rFonts w:eastAsia="方正仿宋_GBK"/>
          <w:kern w:val="0"/>
          <w:sz w:val="32"/>
          <w:szCs w:val="32"/>
        </w:rPr>
        <w:t>为进一步加强土地资产管理，完善科学的地价管理体系，规范土地市场秩序，充分发挥政府的指导调控作用，</w:t>
      </w:r>
      <w:r>
        <w:rPr>
          <w:rFonts w:eastAsia="方正仿宋_GBK"/>
          <w:sz w:val="32"/>
          <w:szCs w:val="32"/>
        </w:rPr>
        <w:t>按照《自然资源部办公厅关于部署开展2019年度自然资源评价评估工作的通知》（自然资办发〔2019〕36号）和《重庆市规划和自然资源局办公室关于加快完成城镇国有建设用地基准地价更新工作通知》（渝规资办〔2022〕5号）要求</w:t>
      </w:r>
      <w:r>
        <w:rPr>
          <w:rFonts w:eastAsia="方正仿宋_GBK"/>
          <w:kern w:val="0"/>
          <w:sz w:val="32"/>
          <w:szCs w:val="32"/>
        </w:rPr>
        <w:t>，经区政府第</w:t>
      </w:r>
      <w:r>
        <w:rPr>
          <w:rFonts w:hint="eastAsia" w:eastAsia="方正仿宋_GBK"/>
          <w:kern w:val="0"/>
          <w:sz w:val="32"/>
          <w:szCs w:val="32"/>
          <w:lang w:val="en-US" w:eastAsia="zh-CN"/>
        </w:rPr>
        <w:t>9</w:t>
      </w:r>
      <w:r>
        <w:rPr>
          <w:rFonts w:eastAsia="方正仿宋_GBK"/>
          <w:kern w:val="0"/>
          <w:sz w:val="32"/>
          <w:szCs w:val="32"/>
        </w:rPr>
        <w:t>次常务会审议通过，现将南川区国有建设用地使用权土地级别和基准地价予以公布，并就有关事项通知如下：</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kern w:val="0"/>
          <w:sz w:val="32"/>
          <w:szCs w:val="32"/>
        </w:rPr>
      </w:pPr>
      <w:r>
        <w:rPr>
          <w:rFonts w:eastAsia="方正黑体_GBK"/>
          <w:kern w:val="0"/>
          <w:sz w:val="32"/>
          <w:szCs w:val="32"/>
        </w:rPr>
        <w:t>一、</w:t>
      </w:r>
      <w:r>
        <w:rPr>
          <w:rFonts w:hint="eastAsia" w:ascii="方正仿宋_GBK" w:hAnsi="微软雅黑" w:eastAsia="方正仿宋_GBK"/>
          <w:sz w:val="32"/>
          <w:szCs w:val="32"/>
        </w:rPr>
        <w:t>基准地价是政府管理和调控土地市场的基本手段，是制定土地税费、核算土地资产收益的主要依据，各有关单位应当认真执行。</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kern w:val="0"/>
          <w:sz w:val="32"/>
          <w:szCs w:val="32"/>
        </w:rPr>
      </w:pPr>
      <w:r>
        <w:rPr>
          <w:rFonts w:eastAsia="方正黑体_GBK"/>
          <w:kern w:val="0"/>
          <w:sz w:val="32"/>
          <w:szCs w:val="32"/>
        </w:rPr>
        <w:t>二、</w:t>
      </w:r>
      <w:r>
        <w:rPr>
          <w:rFonts w:eastAsia="方正仿宋_GBK"/>
          <w:kern w:val="0"/>
          <w:sz w:val="32"/>
          <w:szCs w:val="32"/>
        </w:rPr>
        <w:t>区规划自然资源局</w:t>
      </w:r>
      <w:r>
        <w:rPr>
          <w:rFonts w:hint="eastAsia" w:eastAsia="方正仿宋_GBK"/>
          <w:kern w:val="0"/>
          <w:sz w:val="32"/>
          <w:szCs w:val="32"/>
          <w:lang w:val="en-US" w:eastAsia="zh-CN"/>
        </w:rPr>
        <w:t>要</w:t>
      </w:r>
      <w:r>
        <w:rPr>
          <w:rFonts w:eastAsia="方正仿宋_GBK"/>
          <w:kern w:val="0"/>
          <w:sz w:val="32"/>
          <w:szCs w:val="32"/>
        </w:rPr>
        <w:t>切实做好地价动态监测、地价指数定期测算发布工作，并根据经济社会发展情况及市场需要，适时更新土地级别。</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sz w:val="32"/>
          <w:szCs w:val="32"/>
        </w:rPr>
      </w:pPr>
      <w:r>
        <w:rPr>
          <w:rFonts w:hint="eastAsia" w:ascii="方正黑体_GBK" w:eastAsia="方正黑体_GBK"/>
          <w:kern w:val="0"/>
          <w:sz w:val="32"/>
          <w:szCs w:val="32"/>
        </w:rPr>
        <w:t>三、</w:t>
      </w:r>
      <w:r>
        <w:rPr>
          <w:rFonts w:eastAsia="方正仿宋_GBK"/>
          <w:kern w:val="0"/>
          <w:sz w:val="32"/>
          <w:szCs w:val="32"/>
        </w:rPr>
        <w:t>本通知自2022年</w:t>
      </w:r>
      <w:r>
        <w:rPr>
          <w:rFonts w:hint="eastAsia" w:eastAsia="方正仿宋_GBK"/>
          <w:kern w:val="0"/>
          <w:sz w:val="32"/>
          <w:szCs w:val="32"/>
        </w:rPr>
        <w:t>7</w:t>
      </w:r>
      <w:r>
        <w:rPr>
          <w:rFonts w:eastAsia="方正仿宋_GBK"/>
          <w:kern w:val="0"/>
          <w:sz w:val="32"/>
          <w:szCs w:val="32"/>
        </w:rPr>
        <w:t>月</w:t>
      </w:r>
      <w:r>
        <w:rPr>
          <w:rFonts w:hint="eastAsia" w:eastAsia="方正仿宋_GBK"/>
          <w:kern w:val="0"/>
          <w:sz w:val="32"/>
          <w:szCs w:val="32"/>
        </w:rPr>
        <w:t>1</w:t>
      </w:r>
      <w:r>
        <w:rPr>
          <w:rFonts w:eastAsia="方正仿宋_GBK"/>
          <w:kern w:val="0"/>
          <w:sz w:val="32"/>
          <w:szCs w:val="32"/>
        </w:rPr>
        <w:t>日起</w:t>
      </w:r>
      <w:r>
        <w:rPr>
          <w:rFonts w:hint="eastAsia" w:eastAsia="方正仿宋_GBK"/>
          <w:kern w:val="0"/>
          <w:sz w:val="32"/>
          <w:szCs w:val="32"/>
        </w:rPr>
        <w:t>施</w:t>
      </w:r>
      <w:r>
        <w:rPr>
          <w:rFonts w:eastAsia="方正仿宋_GBK"/>
          <w:kern w:val="0"/>
          <w:sz w:val="32"/>
          <w:szCs w:val="32"/>
        </w:rPr>
        <w:t>行。原《重庆市南川区人民政府关于公布南川区国有建设用地使用权土地级别和基准地价的通知》（</w:t>
      </w:r>
      <w:r>
        <w:rPr>
          <w:rFonts w:eastAsia="方正仿宋_GBK"/>
          <w:sz w:val="32"/>
          <w:szCs w:val="32"/>
        </w:rPr>
        <w:t>南川府发〔2016〕28号</w:t>
      </w:r>
      <w:r>
        <w:rPr>
          <w:rFonts w:eastAsia="方正仿宋_GBK"/>
          <w:kern w:val="0"/>
          <w:sz w:val="32"/>
          <w:szCs w:val="32"/>
        </w:rPr>
        <w:t>）同时废止。</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sz w:val="32"/>
          <w:szCs w:val="32"/>
        </w:rPr>
      </w:pPr>
      <w:r>
        <w:rPr>
          <w:rFonts w:hint="eastAsia" w:ascii="方正黑体_GBK" w:eastAsia="方正黑体_GBK"/>
          <w:sz w:val="32"/>
          <w:szCs w:val="32"/>
        </w:rPr>
        <w:t>四、</w:t>
      </w:r>
      <w:r>
        <w:rPr>
          <w:rFonts w:eastAsia="方正仿宋_GBK"/>
          <w:sz w:val="32"/>
          <w:szCs w:val="32"/>
        </w:rPr>
        <w:t>本通知</w:t>
      </w:r>
      <w:r>
        <w:rPr>
          <w:rFonts w:hint="eastAsia" w:eastAsia="方正仿宋_GBK"/>
          <w:sz w:val="32"/>
          <w:szCs w:val="32"/>
        </w:rPr>
        <w:t>施</w:t>
      </w:r>
      <w:r>
        <w:rPr>
          <w:rFonts w:eastAsia="方正仿宋_GBK"/>
          <w:sz w:val="32"/>
          <w:szCs w:val="32"/>
        </w:rPr>
        <w:t>行前</w:t>
      </w:r>
      <w:r>
        <w:rPr>
          <w:rFonts w:hint="eastAsia" w:eastAsia="方正仿宋_GBK"/>
          <w:sz w:val="32"/>
          <w:szCs w:val="32"/>
        </w:rPr>
        <w:t>已</w:t>
      </w:r>
      <w:r>
        <w:rPr>
          <w:rFonts w:eastAsia="方正仿宋_GBK"/>
          <w:sz w:val="32"/>
          <w:szCs w:val="32"/>
        </w:rPr>
        <w:t>受理的业务审批件，按</w:t>
      </w:r>
      <w:r>
        <w:rPr>
          <w:rFonts w:hint="eastAsia" w:eastAsia="方正仿宋_GBK"/>
          <w:sz w:val="32"/>
          <w:szCs w:val="32"/>
        </w:rPr>
        <w:t>原《重庆市</w:t>
      </w:r>
      <w:r>
        <w:rPr>
          <w:rFonts w:eastAsia="方正仿宋_GBK"/>
          <w:kern w:val="0"/>
          <w:sz w:val="32"/>
          <w:szCs w:val="32"/>
        </w:rPr>
        <w:t>南川区人民政府关于公布南川区国有建设用地使用权土地级别和基准地价的通知》（</w:t>
      </w:r>
      <w:r>
        <w:rPr>
          <w:rFonts w:eastAsia="方正仿宋_GBK"/>
          <w:sz w:val="32"/>
          <w:szCs w:val="32"/>
        </w:rPr>
        <w:t>南川府发〔2016〕28号</w:t>
      </w:r>
      <w:r>
        <w:rPr>
          <w:rFonts w:eastAsia="方正仿宋_GBK"/>
          <w:kern w:val="0"/>
          <w:sz w:val="32"/>
          <w:szCs w:val="32"/>
        </w:rPr>
        <w:t>）</w:t>
      </w:r>
      <w:r>
        <w:rPr>
          <w:rFonts w:eastAsia="方正仿宋_GBK"/>
          <w:sz w:val="32"/>
          <w:szCs w:val="32"/>
        </w:rPr>
        <w:t>执行</w:t>
      </w:r>
      <w:r>
        <w:rPr>
          <w:rFonts w:hint="eastAsia" w:eastAsia="方正仿宋_GBK"/>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ascii="方正仿宋_GBK" w:hAnsi="宋体" w:eastAsia="方正仿宋_GBK" w:cs="宋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outlineLvl w:val="9"/>
        <w:rPr>
          <w:rFonts w:eastAsia="方正仿宋_GBK"/>
          <w:kern w:val="0"/>
          <w:sz w:val="32"/>
          <w:szCs w:val="32"/>
        </w:rPr>
      </w:pPr>
      <w:r>
        <w:rPr>
          <w:rFonts w:eastAsia="方正仿宋_GBK"/>
          <w:kern w:val="0"/>
          <w:sz w:val="32"/>
          <w:szCs w:val="32"/>
        </w:rPr>
        <w:t>附件：1.</w:t>
      </w:r>
      <w:r>
        <w:rPr>
          <w:rFonts w:eastAsia="方正仿宋_GBK"/>
          <w:bCs/>
          <w:sz w:val="32"/>
          <w:szCs w:val="32"/>
        </w:rPr>
        <w:t>南川区城镇国有建设用地使用权基准地价表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1600" w:firstLineChars="500"/>
        <w:textAlignment w:val="auto"/>
        <w:outlineLvl w:val="9"/>
        <w:rPr>
          <w:rFonts w:eastAsia="方正仿宋_GBK"/>
          <w:kern w:val="0"/>
          <w:sz w:val="32"/>
          <w:szCs w:val="32"/>
        </w:rPr>
      </w:pPr>
      <w:r>
        <w:rPr>
          <w:rFonts w:eastAsia="方正仿宋_GBK"/>
          <w:kern w:val="0"/>
          <w:sz w:val="32"/>
          <w:szCs w:val="32"/>
        </w:rPr>
        <w:t>2.南川区城镇土地级别册</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1600" w:firstLineChars="500"/>
        <w:textAlignment w:val="auto"/>
        <w:outlineLvl w:val="9"/>
        <w:rPr>
          <w:rFonts w:eastAsia="方正仿宋_GBK"/>
          <w:bCs/>
          <w:sz w:val="32"/>
          <w:szCs w:val="32"/>
        </w:rPr>
      </w:pPr>
      <w:r>
        <w:rPr>
          <w:rFonts w:eastAsia="方正仿宋_GBK"/>
          <w:kern w:val="0"/>
          <w:sz w:val="32"/>
          <w:szCs w:val="32"/>
        </w:rPr>
        <w:t>3.南川区城镇土地级别及基准地价图</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1600" w:firstLineChars="500"/>
        <w:textAlignment w:val="auto"/>
        <w:outlineLvl w:val="9"/>
        <w:rPr>
          <w:rFonts w:eastAsia="方正仿宋_GBK"/>
          <w:sz w:val="32"/>
          <w:szCs w:val="32"/>
        </w:rPr>
      </w:pPr>
      <w:r>
        <w:rPr>
          <w:rFonts w:eastAsia="方正仿宋_GBK"/>
          <w:bCs/>
          <w:sz w:val="32"/>
          <w:szCs w:val="32"/>
        </w:rPr>
        <w:t>4.</w:t>
      </w:r>
      <w:r>
        <w:rPr>
          <w:rFonts w:eastAsia="方正仿宋_GBK"/>
          <w:sz w:val="32"/>
          <w:szCs w:val="32"/>
        </w:rPr>
        <w:t>南川区城镇国有建设用地使用权基准地价说明</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1600" w:firstLineChars="500"/>
        <w:textAlignment w:val="auto"/>
        <w:outlineLvl w:val="9"/>
        <w:rPr>
          <w:rFonts w:eastAsia="方正仿宋_GBK"/>
          <w:kern w:val="0"/>
          <w:sz w:val="32"/>
          <w:szCs w:val="32"/>
        </w:rPr>
      </w:pPr>
      <w:r>
        <w:rPr>
          <w:rFonts w:eastAsia="方正仿宋_GBK"/>
          <w:sz w:val="32"/>
          <w:szCs w:val="32"/>
        </w:rPr>
        <w:t>5.南川区土地收益系数表</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ascii="方正仿宋_GBK" w:hAnsi="宋体" w:eastAsia="方正仿宋_GBK" w:cs="宋体"/>
          <w:kern w:val="0"/>
          <w:sz w:val="32"/>
          <w:szCs w:val="32"/>
        </w:rPr>
      </w:pPr>
    </w:p>
    <w:p>
      <w:pPr>
        <w:pStyle w:val="2"/>
      </w:pPr>
    </w:p>
    <w:p>
      <w:pPr>
        <w:keepNext w:val="0"/>
        <w:keepLines w:val="0"/>
        <w:pageBreakBefore w:val="0"/>
        <w:widowControl w:val="0"/>
        <w:kinsoku/>
        <w:wordWrap w:val="0"/>
        <w:overflowPunct/>
        <w:topLinePunct w:val="0"/>
        <w:autoSpaceDE/>
        <w:autoSpaceDN/>
        <w:bidi w:val="0"/>
        <w:adjustRightInd w:val="0"/>
        <w:snapToGrid w:val="0"/>
        <w:spacing w:line="600" w:lineRule="exact"/>
        <w:ind w:firstLine="640"/>
        <w:jc w:val="center"/>
        <w:textAlignment w:val="auto"/>
        <w:rPr>
          <w:rFonts w:hint="default" w:eastAsia="方正仿宋_GBK"/>
          <w:kern w:val="0"/>
          <w:sz w:val="32"/>
          <w:szCs w:val="32"/>
          <w:lang w:val="en-US" w:eastAsia="zh-CN"/>
        </w:rPr>
      </w:pPr>
      <w:r>
        <w:rPr>
          <w:rFonts w:hint="eastAsia" w:eastAsia="方正仿宋_GBK"/>
          <w:kern w:val="0"/>
          <w:sz w:val="32"/>
          <w:szCs w:val="32"/>
          <w:lang w:val="en-US" w:eastAsia="zh-CN"/>
        </w:rPr>
        <w:t xml:space="preserve">                       </w:t>
      </w:r>
      <w:r>
        <w:rPr>
          <w:rFonts w:eastAsia="方正仿宋_GBK"/>
          <w:kern w:val="0"/>
          <w:sz w:val="32"/>
          <w:szCs w:val="32"/>
        </w:rPr>
        <w:t>重庆市南川区人民政府</w:t>
      </w:r>
      <w:r>
        <w:rPr>
          <w:rFonts w:hint="eastAsia" w:eastAsia="方正仿宋_GBK"/>
          <w:kern w:val="0"/>
          <w:sz w:val="32"/>
          <w:szCs w:val="32"/>
          <w:lang w:val="en-US" w:eastAsia="zh-CN"/>
        </w:rPr>
        <w:t xml:space="preserve">  </w:t>
      </w:r>
    </w:p>
    <w:p>
      <w:pPr>
        <w:keepNext w:val="0"/>
        <w:keepLines w:val="0"/>
        <w:pageBreakBefore w:val="0"/>
        <w:widowControl w:val="0"/>
        <w:tabs>
          <w:tab w:val="left" w:pos="7560"/>
        </w:tabs>
        <w:kinsoku/>
        <w:wordWrap/>
        <w:overflowPunct/>
        <w:topLinePunct w:val="0"/>
        <w:autoSpaceDE/>
        <w:autoSpaceDN/>
        <w:bidi w:val="0"/>
        <w:adjustRightInd w:val="0"/>
        <w:snapToGrid w:val="0"/>
        <w:spacing w:line="600" w:lineRule="exact"/>
        <w:ind w:right="960" w:firstLine="640"/>
        <w:jc w:val="right"/>
        <w:textAlignment w:val="auto"/>
        <w:rPr>
          <w:rFonts w:eastAsia="方正仿宋_GBK"/>
          <w:kern w:val="0"/>
          <w:sz w:val="32"/>
          <w:szCs w:val="32"/>
        </w:rPr>
      </w:pPr>
      <w:r>
        <w:rPr>
          <w:rFonts w:hint="eastAsia" w:eastAsia="方正仿宋_GBK"/>
          <w:kern w:val="0"/>
          <w:sz w:val="32"/>
          <w:szCs w:val="32"/>
          <w:lang w:val="en-US" w:eastAsia="zh-CN"/>
        </w:rPr>
        <w:t xml:space="preserve">  </w:t>
      </w:r>
      <w:r>
        <w:rPr>
          <w:rFonts w:eastAsia="方正仿宋_GBK"/>
          <w:kern w:val="0"/>
          <w:sz w:val="32"/>
          <w:szCs w:val="32"/>
        </w:rPr>
        <w:t>2022年</w:t>
      </w:r>
      <w:r>
        <w:rPr>
          <w:rFonts w:hint="eastAsia" w:eastAsia="方正仿宋_GBK"/>
          <w:kern w:val="0"/>
          <w:sz w:val="32"/>
          <w:szCs w:val="32"/>
          <w:lang w:val="en-US" w:eastAsia="zh-CN"/>
        </w:rPr>
        <w:t>6</w:t>
      </w:r>
      <w:r>
        <w:rPr>
          <w:rFonts w:eastAsia="方正仿宋_GBK"/>
          <w:kern w:val="0"/>
          <w:sz w:val="32"/>
          <w:szCs w:val="32"/>
        </w:rPr>
        <w:t>月</w:t>
      </w:r>
      <w:r>
        <w:rPr>
          <w:rFonts w:hint="eastAsia"/>
          <w:kern w:val="0"/>
          <w:sz w:val="32"/>
          <w:szCs w:val="32"/>
          <w:lang w:val="en-US" w:eastAsia="zh-CN"/>
        </w:rPr>
        <w:t>15</w:t>
      </w:r>
      <w:r>
        <w:rPr>
          <w:rFonts w:eastAsia="方正仿宋_GBK"/>
          <w:kern w:val="0"/>
          <w:sz w:val="32"/>
          <w:szCs w:val="32"/>
        </w:rPr>
        <w:t>日</w:t>
      </w:r>
    </w:p>
    <w:p>
      <w:pPr>
        <w:keepNext w:val="0"/>
        <w:keepLines w:val="0"/>
        <w:pageBreakBefore w:val="0"/>
        <w:widowControl w:val="0"/>
        <w:tabs>
          <w:tab w:val="left" w:pos="7560"/>
        </w:tabs>
        <w:kinsoku/>
        <w:wordWrap/>
        <w:overflowPunct/>
        <w:topLinePunct w:val="0"/>
        <w:autoSpaceDE/>
        <w:autoSpaceDN/>
        <w:bidi w:val="0"/>
        <w:adjustRightInd w:val="0"/>
        <w:snapToGrid w:val="0"/>
        <w:spacing w:line="600" w:lineRule="exact"/>
        <w:ind w:right="960" w:firstLine="640"/>
        <w:jc w:val="left"/>
        <w:textAlignment w:val="auto"/>
        <w:rPr>
          <w:rFonts w:hint="eastAsia"/>
        </w:rPr>
      </w:pPr>
      <w:r>
        <w:rPr>
          <w:rFonts w:hint="default" w:eastAsia="方正仿宋_GBK"/>
          <w:kern w:val="0"/>
          <w:sz w:val="32"/>
          <w:szCs w:val="32"/>
          <w:lang w:val="en-US" w:eastAsia="zh-CN"/>
        </w:rPr>
        <w:t>（此件公开发布）</w:t>
      </w:r>
    </w:p>
    <w:p>
      <w:pPr>
        <w:pStyle w:val="10"/>
        <w:pageBreakBefore w:val="0"/>
        <w:kinsoku/>
        <w:wordWrap/>
        <w:overflowPunct/>
        <w:topLinePunct w:val="0"/>
        <w:autoSpaceDE/>
        <w:autoSpaceDN/>
        <w:bidi w:val="0"/>
        <w:spacing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line="600" w:lineRule="exact"/>
        <w:jc w:val="left"/>
        <w:textAlignment w:val="auto"/>
        <w:rPr>
          <w:rFonts w:ascii="方正黑体_GBK" w:eastAsia="方正黑体_GBK"/>
          <w:b w:val="0"/>
          <w:sz w:val="32"/>
          <w:szCs w:val="32"/>
        </w:rPr>
      </w:pPr>
      <w:r>
        <w:rPr>
          <w:rFonts w:hint="eastAsia" w:ascii="方正黑体_GBK" w:eastAsia="方正黑体_GBK"/>
          <w:b w:val="0"/>
          <w:sz w:val="32"/>
          <w:szCs w:val="32"/>
        </w:rPr>
        <w:t>附件1</w:t>
      </w:r>
    </w:p>
    <w:p>
      <w:pPr>
        <w:pageBreakBefore w:val="0"/>
        <w:widowControl/>
        <w:kinsoku/>
        <w:wordWrap/>
        <w:overflowPunct/>
        <w:topLinePunct w:val="0"/>
        <w:autoSpaceDE/>
        <w:autoSpaceDN/>
        <w:bidi w:val="0"/>
        <w:spacing w:line="600" w:lineRule="exact"/>
        <w:ind w:firstLine="600"/>
        <w:jc w:val="center"/>
        <w:textAlignment w:val="auto"/>
        <w:rPr>
          <w:rFonts w:ascii="宋体" w:hAnsi="宋体" w:cs="宋体"/>
          <w:bCs/>
          <w:sz w:val="30"/>
        </w:rPr>
      </w:pPr>
    </w:p>
    <w:p>
      <w:pPr>
        <w:keepNext w:val="0"/>
        <w:keepLines w:val="0"/>
        <w:pageBreakBefore w:val="0"/>
        <w:widowControl/>
        <w:kinsoku/>
        <w:wordWrap/>
        <w:overflowPunct/>
        <w:topLinePunct w:val="0"/>
        <w:autoSpaceDE/>
        <w:autoSpaceDN/>
        <w:bidi w:val="0"/>
        <w:spacing w:line="440" w:lineRule="exact"/>
        <w:ind w:right="0"/>
        <w:jc w:val="center"/>
        <w:textAlignment w:val="auto"/>
        <w:outlineLvl w:val="0"/>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南川区城镇国有建设用地使用权基准地价表</w:t>
      </w:r>
    </w:p>
    <w:p>
      <w:pPr>
        <w:keepNext w:val="0"/>
        <w:keepLines w:val="0"/>
        <w:pageBreakBefore w:val="0"/>
        <w:widowControl/>
        <w:kinsoku/>
        <w:wordWrap/>
        <w:overflowPunct/>
        <w:topLinePunct w:val="0"/>
        <w:autoSpaceDE/>
        <w:autoSpaceDN/>
        <w:bidi w:val="0"/>
        <w:adjustRightInd w:val="0"/>
        <w:snapToGrid w:val="0"/>
        <w:spacing w:line="440" w:lineRule="exact"/>
        <w:ind w:right="0"/>
        <w:jc w:val="right"/>
        <w:textAlignment w:val="auto"/>
        <w:rPr>
          <w:rFonts w:ascii="宋体" w:hAnsi="宋体" w:cs="宋体"/>
          <w:kern w:val="0"/>
          <w:szCs w:val="21"/>
        </w:rPr>
      </w:pPr>
    </w:p>
    <w:p>
      <w:pPr>
        <w:keepNext w:val="0"/>
        <w:keepLines w:val="0"/>
        <w:pageBreakBefore w:val="0"/>
        <w:widowControl/>
        <w:kinsoku/>
        <w:wordWrap/>
        <w:overflowPunct/>
        <w:topLinePunct w:val="0"/>
        <w:autoSpaceDE/>
        <w:autoSpaceDN/>
        <w:bidi w:val="0"/>
        <w:adjustRightInd w:val="0"/>
        <w:snapToGrid w:val="0"/>
        <w:spacing w:line="440" w:lineRule="exact"/>
        <w:ind w:right="0"/>
        <w:jc w:val="right"/>
        <w:textAlignment w:val="auto"/>
        <w:rPr>
          <w:rFonts w:ascii="方正楷体_GBK" w:hAnsi="方正楷体_GBK" w:eastAsia="方正楷体_GBK" w:cs="方正楷体_GBK"/>
          <w:kern w:val="0"/>
          <w:szCs w:val="21"/>
        </w:rPr>
      </w:pPr>
      <w:r>
        <w:rPr>
          <w:rFonts w:hint="eastAsia" w:ascii="方正楷体_GBK" w:hAnsi="方正楷体_GBK" w:eastAsia="方正楷体_GBK" w:cs="方正楷体_GBK"/>
          <w:kern w:val="0"/>
          <w:szCs w:val="21"/>
        </w:rPr>
        <w:t>单位：元/平方米（建筑面积）</w:t>
      </w:r>
    </w:p>
    <w:tbl>
      <w:tblPr>
        <w:tblStyle w:val="11"/>
        <w:tblW w:w="86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9"/>
        <w:gridCol w:w="1809"/>
        <w:gridCol w:w="1865"/>
        <w:gridCol w:w="1665"/>
        <w:gridCol w:w="2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exact"/>
          <w:jc w:val="center"/>
        </w:trPr>
        <w:tc>
          <w:tcPr>
            <w:tcW w:w="1199" w:type="dxa"/>
            <w:tcBorders>
              <w:top w:val="single" w:color="auto" w:sz="4" w:space="0"/>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ascii="方正黑体_GBK" w:hAnsi="方正黑体_GBK" w:eastAsia="方正黑体_GBK" w:cs="方正黑体_GBK"/>
                <w:color w:val="auto"/>
                <w:kern w:val="2"/>
                <w:sz w:val="24"/>
                <w:szCs w:val="24"/>
              </w:rPr>
            </w:pPr>
            <w:r>
              <w:rPr>
                <w:rFonts w:hint="eastAsia" w:ascii="方正黑体_GBK" w:hAnsi="方正黑体_GBK" w:eastAsia="方正黑体_GBK" w:cs="方正黑体_GBK"/>
                <w:color w:val="auto"/>
                <w:kern w:val="2"/>
                <w:sz w:val="24"/>
                <w:szCs w:val="24"/>
              </w:rPr>
              <w:t>级别</w:t>
            </w:r>
          </w:p>
        </w:tc>
        <w:tc>
          <w:tcPr>
            <w:tcW w:w="1809" w:type="dxa"/>
            <w:tcBorders>
              <w:top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ascii="方正黑体_GBK" w:hAnsi="方正黑体_GBK" w:eastAsia="方正黑体_GBK" w:cs="方正黑体_GBK"/>
                <w:color w:val="auto"/>
                <w:kern w:val="2"/>
                <w:sz w:val="24"/>
                <w:szCs w:val="24"/>
              </w:rPr>
            </w:pPr>
            <w:r>
              <w:rPr>
                <w:rFonts w:hint="eastAsia" w:ascii="方正黑体_GBK" w:hAnsi="方正黑体_GBK" w:eastAsia="方正黑体_GBK" w:cs="方正黑体_GBK"/>
                <w:color w:val="auto"/>
                <w:kern w:val="2"/>
                <w:sz w:val="24"/>
                <w:szCs w:val="24"/>
              </w:rPr>
              <w:t>商服用地</w:t>
            </w:r>
          </w:p>
        </w:tc>
        <w:tc>
          <w:tcPr>
            <w:tcW w:w="1865" w:type="dxa"/>
            <w:tcBorders>
              <w:top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ascii="方正黑体_GBK" w:hAnsi="方正黑体_GBK" w:eastAsia="方正黑体_GBK" w:cs="方正黑体_GBK"/>
                <w:color w:val="auto"/>
                <w:kern w:val="2"/>
                <w:sz w:val="24"/>
                <w:szCs w:val="24"/>
              </w:rPr>
            </w:pPr>
            <w:r>
              <w:rPr>
                <w:rFonts w:hint="eastAsia" w:ascii="方正黑体_GBK" w:hAnsi="方正黑体_GBK" w:eastAsia="方正黑体_GBK" w:cs="方正黑体_GBK"/>
                <w:color w:val="auto"/>
                <w:kern w:val="2"/>
                <w:sz w:val="24"/>
                <w:szCs w:val="24"/>
              </w:rPr>
              <w:t>住宅用地</w:t>
            </w:r>
          </w:p>
        </w:tc>
        <w:tc>
          <w:tcPr>
            <w:tcW w:w="1665" w:type="dxa"/>
            <w:tcBorders>
              <w:top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ascii="方正黑体_GBK" w:hAnsi="方正黑体_GBK" w:eastAsia="方正黑体_GBK" w:cs="方正黑体_GBK"/>
                <w:color w:val="auto"/>
                <w:kern w:val="2"/>
                <w:sz w:val="24"/>
                <w:szCs w:val="24"/>
              </w:rPr>
            </w:pPr>
            <w:r>
              <w:rPr>
                <w:rFonts w:hint="eastAsia" w:ascii="方正黑体_GBK" w:hAnsi="方正黑体_GBK" w:eastAsia="方正黑体_GBK" w:cs="方正黑体_GBK"/>
                <w:color w:val="auto"/>
                <w:kern w:val="2"/>
                <w:sz w:val="24"/>
                <w:szCs w:val="24"/>
              </w:rPr>
              <w:t>工矿仓储用地</w:t>
            </w:r>
          </w:p>
        </w:tc>
        <w:tc>
          <w:tcPr>
            <w:tcW w:w="2100" w:type="dxa"/>
            <w:tcBorders>
              <w:top w:val="single" w:color="auto" w:sz="4" w:space="0"/>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ascii="方正黑体_GBK" w:hAnsi="方正黑体_GBK" w:eastAsia="方正黑体_GBK" w:cs="方正黑体_GBK"/>
                <w:color w:val="auto"/>
                <w:kern w:val="2"/>
                <w:sz w:val="24"/>
                <w:szCs w:val="24"/>
              </w:rPr>
            </w:pPr>
            <w:r>
              <w:rPr>
                <w:rFonts w:hint="eastAsia" w:ascii="方正黑体_GBK" w:hAnsi="方正黑体_GBK" w:eastAsia="方正黑体_GBK" w:cs="方正黑体_GBK"/>
                <w:color w:val="auto"/>
                <w:kern w:val="2"/>
                <w:sz w:val="24"/>
                <w:szCs w:val="24"/>
              </w:rPr>
              <w:t>公共管理与公共服务用地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1690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1680</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300</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910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2</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1110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1200</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120</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680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3</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650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720</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100</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490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4</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420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480</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5</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250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240</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jc w:val="center"/>
        </w:trPr>
        <w:tc>
          <w:tcPr>
            <w:tcW w:w="1199" w:type="dxa"/>
            <w:tcBorders>
              <w:lef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6</w:t>
            </w:r>
          </w:p>
        </w:tc>
        <w:tc>
          <w:tcPr>
            <w:tcW w:w="180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190</w:t>
            </w:r>
          </w:p>
        </w:tc>
        <w:tc>
          <w:tcPr>
            <w:tcW w:w="18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w:t>
            </w:r>
          </w:p>
        </w:tc>
        <w:tc>
          <w:tcPr>
            <w:tcW w:w="166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w:t>
            </w:r>
          </w:p>
        </w:tc>
        <w:tc>
          <w:tcPr>
            <w:tcW w:w="2100" w:type="dxa"/>
            <w:tcBorders>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textAlignment w:val="auto"/>
              <w:rPr>
                <w:rFonts w:eastAsia="方正仿宋_GBK" w:cs="Times New Roman"/>
                <w:color w:val="auto"/>
                <w:kern w:val="2"/>
                <w:sz w:val="24"/>
                <w:szCs w:val="24"/>
              </w:rPr>
            </w:pPr>
            <w:r>
              <w:rPr>
                <w:rFonts w:eastAsia="方正仿宋_GBK" w:cs="Times New Roman"/>
                <w:color w:val="auto"/>
                <w:kern w:val="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8638" w:type="dxa"/>
            <w:gridSpan w:val="5"/>
            <w:tcBorders>
              <w:left w:val="single" w:color="auto" w:sz="4" w:space="0"/>
              <w:bottom w:val="single" w:color="auto" w:sz="4" w:space="0"/>
              <w:right w:val="single" w:color="auto" w:sz="4" w:space="0"/>
            </w:tcBorders>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left"/>
              <w:textAlignment w:val="auto"/>
              <w:rPr>
                <w:rFonts w:eastAsia="方正仿宋_GBK" w:cs="Times New Roman"/>
                <w:color w:val="auto"/>
                <w:kern w:val="2"/>
                <w:sz w:val="24"/>
              </w:rPr>
            </w:pPr>
            <w:r>
              <w:rPr>
                <w:rFonts w:eastAsia="方正仿宋_GBK" w:cs="Times New Roman"/>
                <w:color w:val="auto"/>
                <w:kern w:val="2"/>
                <w:sz w:val="24"/>
              </w:rPr>
              <w:t>备注：</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1．基准地价的内涵为城镇国有建设用地使用权不同级别、不同用途、设定容积率和土地开发程度下，某一估价期日，特定年限出让国有建设用地使用权的区域平均价格。</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2．基准地价对应的价格表现形式为楼面价。</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3．基准地价对应的期日为2022年1月1日。</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4．基准地价对应的使用年限为商服40年，住宅70年，工矿仓储、公服50年。</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5．基准地价对应的容积率为商服2.5、住宅2.0、工矿仓储1.0、公服1.5。</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both"/>
              <w:textAlignment w:val="auto"/>
              <w:rPr>
                <w:rFonts w:eastAsia="方正仿宋_GBK" w:cs="Times New Roman"/>
                <w:color w:val="auto"/>
                <w:kern w:val="2"/>
                <w:sz w:val="24"/>
              </w:rPr>
            </w:pPr>
            <w:r>
              <w:rPr>
                <w:rFonts w:eastAsia="方正仿宋_GBK" w:cs="Times New Roman"/>
                <w:color w:val="auto"/>
                <w:kern w:val="2"/>
                <w:sz w:val="24"/>
              </w:rPr>
              <w:t>6．基准地价对应的土地开发程度为：商服、住宅、公服“六通一平”，指宗地外通路、通电、通讯、通上水、通下水、通燃气及宗地内场地平整；工矿仓储“五通一平”，指宗地外通路、通电、通讯、通上水、通下水及宗地内场地平整。</w:t>
            </w:r>
          </w:p>
        </w:tc>
      </w:tr>
    </w:tbl>
    <w:p>
      <w:pPr>
        <w:pageBreakBefore w:val="0"/>
        <w:widowControl/>
        <w:kinsoku/>
        <w:wordWrap/>
        <w:overflowPunct/>
        <w:topLinePunct w:val="0"/>
        <w:autoSpaceDE/>
        <w:autoSpaceDN/>
        <w:bidi w:val="0"/>
        <w:spacing w:line="600" w:lineRule="exact"/>
        <w:ind w:firstLine="600"/>
        <w:jc w:val="center"/>
        <w:textAlignment w:val="auto"/>
        <w:rPr>
          <w:rFonts w:ascii="宋体" w:hAnsi="宋体" w:cs="宋体"/>
          <w:bCs/>
          <w:sz w:val="30"/>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bookmarkStart w:id="0" w:name="_Toc97652767"/>
      <w:bookmarkStart w:id="1" w:name="_Toc12368126"/>
      <w:r>
        <w:rPr>
          <w:rFonts w:hint="eastAsia" w:ascii="方正黑体_GBK" w:eastAsia="方正黑体_GBK"/>
          <w:b w:val="0"/>
          <w:sz w:val="32"/>
          <w:szCs w:val="32"/>
        </w:rPr>
        <w:t>附件2</w:t>
      </w:r>
    </w:p>
    <w:p/>
    <w:p>
      <w:pPr>
        <w:pStyle w:val="10"/>
        <w:keepNext w:val="0"/>
        <w:keepLines w:val="0"/>
        <w:pageBreakBefore w:val="0"/>
        <w:kinsoku/>
        <w:wordWrap/>
        <w:overflowPunct/>
        <w:topLinePunct w:val="0"/>
        <w:autoSpaceDE/>
        <w:autoSpaceDN/>
        <w:bidi w:val="0"/>
        <w:adjustRightInd/>
        <w:snapToGrid/>
        <w:spacing w:before="0" w:after="0" w:line="440" w:lineRule="exact"/>
        <w:textAlignment w:val="auto"/>
        <w:rPr>
          <w:rFonts w:hint="eastAsia" w:ascii="方正小标宋_GBK" w:hAnsi="方正小标宋_GBK" w:eastAsia="方正小标宋_GBK" w:cs="方正小标宋_GBK"/>
          <w:b w:val="0"/>
          <w:sz w:val="44"/>
          <w:szCs w:val="44"/>
        </w:rPr>
      </w:pPr>
      <w:r>
        <w:rPr>
          <w:rFonts w:hint="eastAsia" w:ascii="方正小标宋_GBK" w:hAnsi="方正小标宋_GBK" w:eastAsia="方正小标宋_GBK" w:cs="方正小标宋_GBK"/>
          <w:b w:val="0"/>
          <w:sz w:val="44"/>
          <w:szCs w:val="44"/>
        </w:rPr>
        <w:t>南川区城镇土地级别册</w:t>
      </w:r>
      <w:bookmarkEnd w:id="0"/>
    </w:p>
    <w:p>
      <w:pPr>
        <w:keepNext w:val="0"/>
        <w:keepLines w:val="0"/>
        <w:pageBreakBefore w:val="0"/>
        <w:kinsoku/>
        <w:wordWrap/>
        <w:overflowPunct/>
        <w:topLinePunct w:val="0"/>
        <w:autoSpaceDE/>
        <w:autoSpaceDN/>
        <w:bidi w:val="0"/>
        <w:adjustRightInd/>
        <w:snapToGrid/>
        <w:spacing w:line="440" w:lineRule="exact"/>
        <w:textAlignment w:val="auto"/>
        <w:rPr>
          <w:lang w:val="zh-CN"/>
        </w:rPr>
      </w:pPr>
    </w:p>
    <w:bookmarkEnd w:id="1"/>
    <w:tbl>
      <w:tblPr>
        <w:tblStyle w:val="31"/>
        <w:tblW w:w="87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1146"/>
        <w:gridCol w:w="1685"/>
        <w:gridCol w:w="1685"/>
        <w:gridCol w:w="1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tblHeader/>
          <w:jc w:val="center"/>
        </w:trPr>
        <w:tc>
          <w:tcPr>
            <w:tcW w:w="2226" w:type="dxa"/>
            <w:vMerge w:val="restart"/>
            <w:tcBorders>
              <w:top w:val="single" w:color="auto" w:sz="4" w:space="0"/>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土地坐落</w:t>
            </w:r>
          </w:p>
        </w:tc>
        <w:tc>
          <w:tcPr>
            <w:tcW w:w="6486" w:type="dxa"/>
            <w:gridSpan w:val="4"/>
            <w:tcBorders>
              <w:top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土地级别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2226" w:type="dxa"/>
            <w:vMerge w:val="continue"/>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商服</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住宅</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公服</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工矿仓储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三泉镇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三泉镇所有国有建设用地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 w:val="21"/>
                <w:szCs w:val="21"/>
              </w:rPr>
            </w:pPr>
            <w:r>
              <w:rPr>
                <w:rFonts w:hint="eastAsia" w:ascii="方正楷体_GBK" w:hAnsi="方正楷体_GBK" w:eastAsia="方正楷体_GBK" w:cs="方正楷体_GBK"/>
                <w:b/>
                <w:color w:val="000000"/>
                <w:kern w:val="0"/>
                <w:sz w:val="28"/>
                <w:szCs w:val="28"/>
              </w:rPr>
              <w:t>大观片区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 w:val="21"/>
                <w:szCs w:val="21"/>
              </w:rPr>
            </w:pPr>
            <w:r>
              <w:rPr>
                <w:rFonts w:hint="eastAsia" w:ascii="方正楷体_GBK" w:hAnsi="方正楷体_GBK" w:eastAsia="方正楷体_GBK" w:cs="方正楷体_GBK"/>
                <w:b/>
                <w:color w:val="000000"/>
                <w:kern w:val="0"/>
                <w:sz w:val="21"/>
                <w:szCs w:val="21"/>
              </w:rPr>
              <w:t>大观镇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南川三中以东（包含南川三中），大观镇老年协会以南，观溪雅苑以西，上南一路以北区域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白羊湾以东，鸡公丘休闲庄以南，黎香湖大道以西，收费站以北区域（除去四级区域）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大观工业园区（包茂高速以东，大观互通转盘以北，大观大桥以西区域）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大观工业园区（大观互通转盘以南，大观大桥以东区域）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其他国有建设用地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木凉镇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木凉镇所有国有建设用地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黎香湖镇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中海项目片区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其他国有建设用地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兴隆镇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兴隆镇所有国有建设用地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白沙镇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白沙镇所有国有建设用地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太平场镇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太平场镇所有国有建设用地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河图镇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河图镇所有国有建设用地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乾丰镇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乾丰镇所有国有建设用地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Cs w:val="18"/>
              </w:rPr>
            </w:pPr>
            <w:r>
              <w:rPr>
                <w:rFonts w:hint="eastAsia" w:ascii="方正楷体_GBK" w:hAnsi="方正楷体_GBK" w:eastAsia="方正楷体_GBK" w:cs="方正楷体_GBK"/>
                <w:b/>
                <w:color w:val="000000"/>
                <w:kern w:val="0"/>
                <w:sz w:val="28"/>
                <w:szCs w:val="28"/>
              </w:rPr>
              <w:t>南平片区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Cs w:val="18"/>
              </w:rPr>
            </w:pPr>
            <w:r>
              <w:rPr>
                <w:rFonts w:hint="eastAsia" w:ascii="方正楷体_GBK" w:hAnsi="方正楷体_GBK" w:eastAsia="方正楷体_GBK" w:cs="方正楷体_GBK"/>
                <w:b/>
                <w:color w:val="000000"/>
                <w:kern w:val="0"/>
                <w:sz w:val="21"/>
                <w:szCs w:val="21"/>
              </w:rPr>
              <w:t>南平镇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民族路——荣华路——南神路——兴南大道所围合的区域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东至陈家场社区，南至南川一中、中心医院片区，西至耀文福星城，北至</w:t>
            </w:r>
            <w:r>
              <w:rPr>
                <w:rFonts w:hint="eastAsia"/>
                <w:color w:val="000000"/>
                <w:kern w:val="0"/>
                <w:sz w:val="21"/>
                <w:szCs w:val="21"/>
                <w:lang w:eastAsia="zh-CN"/>
              </w:rPr>
              <w:t>尧</w:t>
            </w:r>
            <w:r>
              <w:rPr>
                <w:rFonts w:eastAsia="方正仿宋_GBK"/>
                <w:color w:val="000000"/>
                <w:kern w:val="0"/>
                <w:sz w:val="21"/>
                <w:szCs w:val="21"/>
              </w:rPr>
              <w:t>宝的区域（除去四级区域）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南平镇旅游用地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南川工业园区南平组团</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其他国有建设用地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神童镇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神童镇所有国有建设用地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石莲镇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石莲镇所有国有建设用地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bCs/>
                <w:color w:val="000000"/>
                <w:kern w:val="0"/>
                <w:szCs w:val="18"/>
              </w:rPr>
            </w:pPr>
            <w:r>
              <w:rPr>
                <w:rFonts w:hint="eastAsia" w:ascii="方正楷体_GBK" w:hAnsi="方正楷体_GBK" w:eastAsia="方正楷体_GBK" w:cs="方正楷体_GBK"/>
                <w:b/>
                <w:color w:val="000000"/>
                <w:kern w:val="0"/>
                <w:sz w:val="28"/>
                <w:szCs w:val="28"/>
              </w:rPr>
              <w:t>水江片区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bCs/>
                <w:color w:val="000000"/>
                <w:kern w:val="0"/>
                <w:szCs w:val="18"/>
              </w:rPr>
            </w:pPr>
            <w:r>
              <w:rPr>
                <w:rFonts w:hint="eastAsia" w:ascii="方正楷体_GBK" w:hAnsi="方正楷体_GBK" w:eastAsia="方正楷体_GBK" w:cs="方正楷体_GBK"/>
                <w:b/>
                <w:color w:val="000000"/>
                <w:kern w:val="0"/>
                <w:sz w:val="21"/>
                <w:szCs w:val="21"/>
              </w:rPr>
              <w:t>水江镇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江宁路以西、江石路以北、南陵路以南</w:t>
            </w:r>
            <w:r>
              <w:rPr>
                <w:rFonts w:hint="eastAsia"/>
                <w:color w:val="000000"/>
                <w:kern w:val="0"/>
                <w:sz w:val="21"/>
                <w:szCs w:val="21"/>
                <w:lang w:eastAsia="zh-CN"/>
              </w:rPr>
              <w:t>，</w:t>
            </w:r>
            <w:r>
              <w:rPr>
                <w:rFonts w:eastAsia="方正仿宋_GBK"/>
                <w:color w:val="000000"/>
                <w:kern w:val="0"/>
                <w:sz w:val="21"/>
                <w:szCs w:val="21"/>
              </w:rPr>
              <w:t>金地名都所在片区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水江汽车站、金家福苑区域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水江工业园区范围线以东、水江火车站以南、包茂高速下道口以西、中国石油以北区域（除去四级区域）</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南川工业园区水江组团</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乐村旅游组团</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其他规划区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山王坪镇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山王坪景区建设区（东起水井村</w:t>
            </w:r>
            <w:r>
              <w:rPr>
                <w:rFonts w:hint="eastAsia" w:eastAsia="方正仿宋_GBK"/>
                <w:color w:val="000000"/>
                <w:kern w:val="0"/>
                <w:sz w:val="21"/>
                <w:szCs w:val="21"/>
                <w:lang w:eastAsia="zh-CN"/>
              </w:rPr>
              <w:t>，</w:t>
            </w:r>
            <w:r>
              <w:rPr>
                <w:rFonts w:eastAsia="方正仿宋_GBK"/>
                <w:color w:val="000000"/>
                <w:kern w:val="0"/>
                <w:sz w:val="21"/>
                <w:szCs w:val="21"/>
              </w:rPr>
              <w:t>南接长土村</w:t>
            </w:r>
            <w:r>
              <w:rPr>
                <w:rFonts w:hint="eastAsia" w:eastAsia="方正仿宋_GBK"/>
                <w:color w:val="000000"/>
                <w:kern w:val="0"/>
                <w:sz w:val="21"/>
                <w:szCs w:val="21"/>
                <w:lang w:eastAsia="zh-CN"/>
              </w:rPr>
              <w:t>，</w:t>
            </w:r>
            <w:r>
              <w:rPr>
                <w:rFonts w:eastAsia="方正仿宋_GBK"/>
                <w:color w:val="000000"/>
                <w:kern w:val="0"/>
                <w:sz w:val="21"/>
                <w:szCs w:val="21"/>
              </w:rPr>
              <w:t>西至天生桥</w:t>
            </w:r>
            <w:r>
              <w:rPr>
                <w:rFonts w:hint="eastAsia" w:eastAsia="方正仿宋_GBK"/>
                <w:color w:val="000000"/>
                <w:kern w:val="0"/>
                <w:sz w:val="21"/>
                <w:szCs w:val="21"/>
                <w:lang w:eastAsia="zh-CN"/>
              </w:rPr>
              <w:t>，</w:t>
            </w:r>
            <w:r>
              <w:rPr>
                <w:rFonts w:eastAsia="方正仿宋_GBK"/>
                <w:color w:val="000000"/>
                <w:kern w:val="0"/>
                <w:sz w:val="21"/>
                <w:szCs w:val="21"/>
              </w:rPr>
              <w:t>北邻山王坪村）</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山王坪镇辖区街道及其他规划区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楠竹山镇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楠竹山镇所有国有建设用地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石墙镇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石墙镇所有国有建设用地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中桥乡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中桥乡所有国有建设用地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骑龙镇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骑龙镇所有国有建设用地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bCs/>
                <w:color w:val="000000"/>
                <w:kern w:val="0"/>
                <w:szCs w:val="18"/>
              </w:rPr>
            </w:pPr>
            <w:r>
              <w:rPr>
                <w:rFonts w:hint="eastAsia" w:ascii="方正楷体_GBK" w:hAnsi="方正楷体_GBK" w:eastAsia="方正楷体_GBK" w:cs="方正楷体_GBK"/>
                <w:b/>
                <w:color w:val="000000"/>
                <w:kern w:val="0"/>
                <w:sz w:val="28"/>
                <w:szCs w:val="28"/>
              </w:rPr>
              <w:t>金山湖片区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bCs/>
                <w:color w:val="000000"/>
                <w:kern w:val="0"/>
                <w:szCs w:val="18"/>
              </w:rPr>
            </w:pPr>
            <w:r>
              <w:rPr>
                <w:rFonts w:hint="eastAsia" w:ascii="方正楷体_GBK" w:hAnsi="方正楷体_GBK" w:eastAsia="方正楷体_GBK" w:cs="方正楷体_GBK"/>
                <w:b/>
                <w:color w:val="000000"/>
                <w:kern w:val="0"/>
                <w:sz w:val="21"/>
                <w:szCs w:val="21"/>
              </w:rPr>
              <w:t>金山镇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金山湖景区内</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除金山湖景区外其他国有建设用地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bCs/>
                <w:color w:val="000000"/>
                <w:kern w:val="0"/>
                <w:sz w:val="21"/>
                <w:szCs w:val="21"/>
              </w:rPr>
            </w:pPr>
            <w:r>
              <w:rPr>
                <w:rFonts w:hint="eastAsia" w:ascii="方正楷体_GBK" w:hAnsi="方正楷体_GBK" w:eastAsia="方正楷体_GBK" w:cs="方正楷体_GBK"/>
                <w:b/>
                <w:color w:val="000000"/>
                <w:kern w:val="0"/>
                <w:sz w:val="21"/>
                <w:szCs w:val="21"/>
              </w:rPr>
              <w:t>头渡镇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头渡镇所有国有建设用地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德隆镇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金山湖景区内</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除金山湖景区外其他街道及规划区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Cs w:val="18"/>
              </w:rPr>
            </w:pPr>
            <w:r>
              <w:rPr>
                <w:rFonts w:hint="eastAsia" w:ascii="方正楷体_GBK" w:hAnsi="方正楷体_GBK" w:eastAsia="方正楷体_GBK" w:cs="方正楷体_GBK"/>
                <w:b/>
                <w:color w:val="000000"/>
                <w:kern w:val="0"/>
                <w:sz w:val="28"/>
                <w:szCs w:val="28"/>
              </w:rPr>
              <w:t>大有片区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Cs w:val="18"/>
              </w:rPr>
            </w:pPr>
            <w:r>
              <w:rPr>
                <w:rFonts w:hint="eastAsia" w:ascii="方正楷体_GBK" w:hAnsi="方正楷体_GBK" w:eastAsia="方正楷体_GBK" w:cs="方正楷体_GBK"/>
                <w:b/>
                <w:color w:val="000000"/>
                <w:kern w:val="0"/>
                <w:sz w:val="21"/>
                <w:szCs w:val="21"/>
              </w:rPr>
              <w:t>大有镇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大有镇所有国有建设用地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庆元镇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庆元镇所有国有建设用地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古花镇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古花镇所有国有建设用地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合溪镇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合溪镇所有国有建设用地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Cs w:val="18"/>
              </w:rPr>
            </w:pPr>
            <w:r>
              <w:rPr>
                <w:rFonts w:hint="eastAsia" w:ascii="方正楷体_GBK" w:hAnsi="方正楷体_GBK" w:eastAsia="方正楷体_GBK" w:cs="方正楷体_GBK"/>
                <w:b w:val="0"/>
                <w:bCs/>
                <w:color w:val="000000"/>
                <w:kern w:val="0"/>
                <w:sz w:val="28"/>
                <w:szCs w:val="28"/>
              </w:rPr>
              <w:t>鸣玉片区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ascii="方正楷体_GBK" w:hAnsi="方正楷体_GBK" w:eastAsia="方正楷体_GBK" w:cs="方正楷体_GBK"/>
                <w:b/>
                <w:color w:val="000000"/>
                <w:kern w:val="0"/>
                <w:szCs w:val="18"/>
              </w:rPr>
            </w:pPr>
            <w:r>
              <w:rPr>
                <w:rFonts w:hint="eastAsia" w:ascii="方正楷体_GBK" w:hAnsi="方正楷体_GBK" w:eastAsia="方正楷体_GBK" w:cs="方正楷体_GBK"/>
                <w:b/>
                <w:color w:val="000000"/>
                <w:kern w:val="0"/>
                <w:sz w:val="21"/>
                <w:szCs w:val="21"/>
              </w:rPr>
              <w:t>鸣玉镇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场镇建成区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其他规划区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石溪镇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高速下道口规划储备区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4</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石溪镇镇辖区街道及其他规划区</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福寿镇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福寿镇所有国有建设用地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民主镇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民主镇所有国有建设用地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冷水关镇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冷水关镇所有国有建设用地</w:t>
            </w:r>
          </w:p>
        </w:tc>
        <w:tc>
          <w:tcPr>
            <w:tcW w:w="11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712" w:type="dxa"/>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b/>
                <w:color w:val="000000"/>
                <w:kern w:val="0"/>
                <w:sz w:val="21"/>
                <w:szCs w:val="21"/>
              </w:rPr>
            </w:pPr>
            <w:r>
              <w:rPr>
                <w:rFonts w:hint="eastAsia" w:ascii="方正楷体_GBK" w:hAnsi="方正楷体_GBK" w:eastAsia="方正楷体_GBK" w:cs="方正楷体_GBK"/>
                <w:b/>
                <w:color w:val="000000"/>
                <w:kern w:val="0"/>
                <w:sz w:val="21"/>
                <w:szCs w:val="21"/>
              </w:rPr>
              <w:t>峰岩乡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6" w:type="dxa"/>
            <w:tcBorders>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textAlignment w:val="auto"/>
              <w:outlineLvl w:val="9"/>
              <w:rPr>
                <w:rFonts w:eastAsia="方正仿宋_GBK"/>
                <w:color w:val="000000"/>
                <w:kern w:val="0"/>
                <w:sz w:val="21"/>
                <w:szCs w:val="21"/>
              </w:rPr>
            </w:pPr>
            <w:r>
              <w:rPr>
                <w:rFonts w:eastAsia="方正仿宋_GBK"/>
                <w:color w:val="000000"/>
                <w:kern w:val="0"/>
                <w:sz w:val="21"/>
                <w:szCs w:val="21"/>
              </w:rPr>
              <w:t>峰岩乡所有国有建设用地</w:t>
            </w:r>
          </w:p>
        </w:tc>
        <w:tc>
          <w:tcPr>
            <w:tcW w:w="1146"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6</w:t>
            </w:r>
          </w:p>
        </w:tc>
        <w:tc>
          <w:tcPr>
            <w:tcW w:w="168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68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5</w:t>
            </w:r>
          </w:p>
        </w:tc>
        <w:tc>
          <w:tcPr>
            <w:tcW w:w="1970" w:type="dxa"/>
            <w:tcBorders>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eastAsia="方正仿宋_GBK"/>
                <w:color w:val="000000"/>
                <w:kern w:val="0"/>
                <w:sz w:val="21"/>
                <w:szCs w:val="21"/>
              </w:rPr>
            </w:pPr>
            <w:r>
              <w:rPr>
                <w:rFonts w:eastAsia="方正仿宋_GBK"/>
                <w:color w:val="000000"/>
                <w:kern w:val="0"/>
                <w:sz w:val="21"/>
                <w:szCs w:val="21"/>
              </w:rPr>
              <w:t>3</w:t>
            </w:r>
          </w:p>
        </w:tc>
      </w:tr>
    </w:tbl>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p>
    <w:p>
      <w:pPr>
        <w:pStyle w:val="10"/>
        <w:pageBreakBefore w:val="0"/>
        <w:kinsoku/>
        <w:wordWrap/>
        <w:overflowPunct/>
        <w:topLinePunct w:val="0"/>
        <w:autoSpaceDE/>
        <w:autoSpaceDN/>
        <w:bidi w:val="0"/>
        <w:spacing w:before="0" w:after="0" w:line="600" w:lineRule="exact"/>
        <w:jc w:val="left"/>
        <w:textAlignment w:val="auto"/>
        <w:rPr>
          <w:rFonts w:hint="eastAsia" w:ascii="方正黑体_GBK" w:eastAsia="方正黑体_GBK"/>
          <w:b w:val="0"/>
          <w:sz w:val="32"/>
          <w:szCs w:val="32"/>
        </w:rPr>
      </w:pPr>
      <w:r>
        <w:rPr>
          <w:rFonts w:hint="eastAsia" w:ascii="方正黑体_GBK" w:eastAsia="方正黑体_GBK"/>
          <w:b w:val="0"/>
          <w:sz w:val="32"/>
          <w:szCs w:val="32"/>
        </w:rPr>
        <w:t>附件3</w:t>
      </w:r>
    </w:p>
    <w:p/>
    <w:p>
      <w:pPr>
        <w:pStyle w:val="10"/>
        <w:pageBreakBefore w:val="0"/>
        <w:kinsoku/>
        <w:wordWrap/>
        <w:overflowPunct/>
        <w:topLinePunct w:val="0"/>
        <w:autoSpaceDE/>
        <w:autoSpaceDN/>
        <w:bidi w:val="0"/>
        <w:spacing w:before="0" w:after="0" w:line="600" w:lineRule="exact"/>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b w:val="0"/>
          <w:color w:val="000000"/>
          <w:kern w:val="0"/>
          <w:sz w:val="44"/>
          <w:szCs w:val="44"/>
        </w:rPr>
        <w:t>南川区城镇土地级别及基准地价图</w:t>
      </w:r>
    </w:p>
    <w:p>
      <w:pPr>
        <w:pStyle w:val="10"/>
        <w:pageBreakBefore w:val="0"/>
        <w:kinsoku/>
        <w:wordWrap/>
        <w:overflowPunct/>
        <w:topLinePunct w:val="0"/>
        <w:autoSpaceDE/>
        <w:autoSpaceDN/>
        <w:bidi w:val="0"/>
        <w:spacing w:line="600" w:lineRule="exact"/>
        <w:jc w:val="left"/>
        <w:textAlignment w:val="auto"/>
        <w:outlineLvl w:val="9"/>
      </w:pPr>
      <w:r>
        <w:rPr>
          <w:rFonts w:hint="eastAsia" w:ascii="方正黑体_GBK" w:eastAsia="方正黑体_GBK"/>
          <w:b w:val="0"/>
          <w:lang w:val="en-US"/>
        </w:rPr>
        <w:drawing>
          <wp:anchor distT="0" distB="0" distL="114300" distR="114300" simplePos="0" relativeHeight="251659264" behindDoc="0" locked="0" layoutInCell="1" allowOverlap="1">
            <wp:simplePos x="0" y="0"/>
            <wp:positionH relativeFrom="column">
              <wp:posOffset>55245</wp:posOffset>
            </wp:positionH>
            <wp:positionV relativeFrom="paragraph">
              <wp:posOffset>76835</wp:posOffset>
            </wp:positionV>
            <wp:extent cx="5579110" cy="6445885"/>
            <wp:effectExtent l="0" t="0" r="2540" b="12065"/>
            <wp:wrapNone/>
            <wp:docPr id="11" name="图片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22"/>
                    <pic:cNvPicPr>
                      <a:picLocks noChangeAspect="1" noChangeArrowheads="1"/>
                    </pic:cNvPicPr>
                  </pic:nvPicPr>
                  <pic:blipFill>
                    <a:blip r:embed="rId6"/>
                    <a:srcRect l="-94" r="-94"/>
                    <a:stretch>
                      <a:fillRect/>
                    </a:stretch>
                  </pic:blipFill>
                  <pic:spPr>
                    <a:xfrm>
                      <a:off x="0" y="0"/>
                      <a:ext cx="5579110" cy="6445885"/>
                    </a:xfrm>
                    <a:prstGeom prst="rect">
                      <a:avLst/>
                    </a:prstGeom>
                    <a:noFill/>
                    <a:ln>
                      <a:noFill/>
                    </a:ln>
                    <a:effectLst/>
                  </pic:spPr>
                </pic:pic>
              </a:graphicData>
            </a:graphic>
          </wp:anchor>
        </w:drawing>
      </w:r>
    </w:p>
    <w:p>
      <w:pPr>
        <w:pStyle w:val="10"/>
        <w:pageBreakBefore w:val="0"/>
        <w:kinsoku/>
        <w:wordWrap/>
        <w:overflowPunct/>
        <w:topLinePunct w:val="0"/>
        <w:autoSpaceDE/>
        <w:autoSpaceDN/>
        <w:bidi w:val="0"/>
        <w:spacing w:line="600" w:lineRule="exact"/>
        <w:jc w:val="left"/>
        <w:textAlignment w:val="auto"/>
        <w:outlineLvl w:val="9"/>
        <w:rPr>
          <w:rFonts w:ascii="方正黑体_GBK" w:eastAsia="方正黑体_GBK"/>
          <w:b w:val="0"/>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r>
        <w:drawing>
          <wp:anchor distT="0" distB="0" distL="114300" distR="114300" simplePos="0" relativeHeight="251662336" behindDoc="0" locked="0" layoutInCell="1" allowOverlap="1">
            <wp:simplePos x="0" y="0"/>
            <wp:positionH relativeFrom="column">
              <wp:posOffset>-56515</wp:posOffset>
            </wp:positionH>
            <wp:positionV relativeFrom="paragraph">
              <wp:posOffset>140335</wp:posOffset>
            </wp:positionV>
            <wp:extent cx="5670550" cy="7681595"/>
            <wp:effectExtent l="0" t="0" r="6350" b="14605"/>
            <wp:wrapNone/>
            <wp:docPr id="12" name="图片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23"/>
                    <pic:cNvPicPr>
                      <a:picLocks noChangeAspect="1" noChangeArrowheads="1"/>
                    </pic:cNvPicPr>
                  </pic:nvPicPr>
                  <pic:blipFill>
                    <a:blip r:embed="rId7"/>
                    <a:stretch>
                      <a:fillRect/>
                    </a:stretch>
                  </pic:blipFill>
                  <pic:spPr>
                    <a:xfrm>
                      <a:off x="1016635" y="1348105"/>
                      <a:ext cx="5670550" cy="7681595"/>
                    </a:xfrm>
                    <a:prstGeom prst="rect">
                      <a:avLst/>
                    </a:prstGeom>
                    <a:noFill/>
                    <a:ln>
                      <a:noFill/>
                    </a:ln>
                    <a:effectLst/>
                  </pic:spPr>
                </pic:pic>
              </a:graphicData>
            </a:graphic>
          </wp:anchor>
        </w:drawing>
      </w: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r>
        <w:drawing>
          <wp:anchor distT="0" distB="0" distL="0" distR="0" simplePos="0" relativeHeight="251663360" behindDoc="0" locked="0" layoutInCell="1" allowOverlap="1">
            <wp:simplePos x="0" y="0"/>
            <wp:positionH relativeFrom="column">
              <wp:posOffset>27305</wp:posOffset>
            </wp:positionH>
            <wp:positionV relativeFrom="paragraph">
              <wp:posOffset>133350</wp:posOffset>
            </wp:positionV>
            <wp:extent cx="5558790" cy="7627620"/>
            <wp:effectExtent l="0" t="0" r="3810" b="11430"/>
            <wp:wrapNone/>
            <wp:docPr id="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
                    <pic:cNvPicPr>
                      <a:picLocks noChangeAspect="1" noChangeArrowheads="1"/>
                    </pic:cNvPicPr>
                  </pic:nvPicPr>
                  <pic:blipFill>
                    <a:blip r:embed="rId8"/>
                    <a:stretch>
                      <a:fillRect/>
                    </a:stretch>
                  </pic:blipFill>
                  <pic:spPr>
                    <a:xfrm>
                      <a:off x="1035050" y="1332230"/>
                      <a:ext cx="5558790" cy="7627620"/>
                    </a:xfrm>
                    <a:prstGeom prst="rect">
                      <a:avLst/>
                    </a:prstGeom>
                    <a:noFill/>
                    <a:ln>
                      <a:noFill/>
                    </a:ln>
                    <a:effectLst/>
                  </pic:spPr>
                </pic:pic>
              </a:graphicData>
            </a:graphic>
          </wp:anchor>
        </w:drawing>
      </w: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ageBreakBefore w:val="0"/>
        <w:kinsoku/>
        <w:wordWrap/>
        <w:overflowPunct/>
        <w:topLinePunct w:val="0"/>
        <w:autoSpaceDE/>
        <w:autoSpaceDN/>
        <w:bidi w:val="0"/>
        <w:spacing w:line="600" w:lineRule="exact"/>
        <w:textAlignment w:val="auto"/>
        <w:rPr>
          <w:rFonts w:hint="eastAsia"/>
        </w:rPr>
      </w:pPr>
    </w:p>
    <w:p>
      <w:pPr>
        <w:pStyle w:val="2"/>
        <w:rPr>
          <w:rFonts w:hint="eastAsia"/>
          <w:lang w:eastAsia="zh-CN"/>
        </w:rPr>
      </w:pPr>
      <w:r>
        <w:rPr>
          <w:rFonts w:hint="eastAsia" w:eastAsia="宋体"/>
          <w:lang w:eastAsia="zh-CN"/>
        </w:rPr>
        <w:drawing>
          <wp:inline distT="0" distB="0" distL="114300" distR="114300">
            <wp:extent cx="5592445" cy="7824470"/>
            <wp:effectExtent l="0" t="0" r="8255" b="5080"/>
            <wp:docPr id="18" name="图片 18"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2"/>
                    <pic:cNvPicPr>
                      <a:picLocks noChangeAspect="1"/>
                    </pic:cNvPicPr>
                  </pic:nvPicPr>
                  <pic:blipFill>
                    <a:blip r:embed="rId9"/>
                    <a:stretch>
                      <a:fillRect/>
                    </a:stretch>
                  </pic:blipFill>
                  <pic:spPr>
                    <a:xfrm rot="10800000" flipH="1" flipV="1">
                      <a:off x="0" y="0"/>
                      <a:ext cx="5592445" cy="7824470"/>
                    </a:xfrm>
                    <a:prstGeom prst="rect">
                      <a:avLst/>
                    </a:prstGeom>
                  </pic:spPr>
                </pic:pic>
              </a:graphicData>
            </a:graphic>
          </wp:inline>
        </w:drawing>
      </w:r>
    </w:p>
    <w:p>
      <w:pPr>
        <w:pStyle w:val="2"/>
        <w:rPr>
          <w:rFonts w:hint="eastAsia"/>
          <w:lang w:eastAsia="zh-CN"/>
        </w:rPr>
      </w:pPr>
      <w:r>
        <w:rPr>
          <w:rFonts w:hint="default" w:ascii="Times New Roman" w:hAnsi="Times New Roman" w:cs="Times New Roman"/>
        </w:rPr>
        <w:drawing>
          <wp:inline distT="0" distB="0" distL="0" distR="0">
            <wp:extent cx="5472430" cy="7821295"/>
            <wp:effectExtent l="9525" t="9525" r="23495" b="17780"/>
            <wp:docPr id="15"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24"/>
                    <pic:cNvPicPr>
                      <a:picLocks noChangeAspect="1" noChangeArrowheads="1"/>
                    </pic:cNvPicPr>
                  </pic:nvPicPr>
                  <pic:blipFill>
                    <a:blip r:embed="rId10"/>
                    <a:stretch>
                      <a:fillRect/>
                    </a:stretch>
                  </pic:blipFill>
                  <pic:spPr>
                    <a:xfrm>
                      <a:off x="0" y="0"/>
                      <a:ext cx="5472430" cy="7821295"/>
                    </a:xfrm>
                    <a:prstGeom prst="rect">
                      <a:avLst/>
                    </a:prstGeom>
                    <a:noFill/>
                    <a:ln>
                      <a:solidFill>
                        <a:schemeClr val="tx1"/>
                      </a:solidFill>
                    </a:ln>
                  </pic:spPr>
                </pic:pic>
              </a:graphicData>
            </a:graphic>
          </wp:inline>
        </w:drawing>
      </w:r>
    </w:p>
    <w:p>
      <w:pPr>
        <w:rPr>
          <w:rFonts w:hint="eastAsia" w:eastAsia="方正仿宋_GBK"/>
          <w:lang w:eastAsia="zh-CN"/>
        </w:rPr>
      </w:pPr>
    </w:p>
    <w:p>
      <w:pPr>
        <w:pStyle w:val="2"/>
        <w:rPr>
          <w:rFonts w:hint="eastAsia" w:eastAsia="方正仿宋_GBK"/>
          <w:lang w:eastAsia="zh-CN"/>
        </w:rPr>
      </w:pPr>
      <w:r>
        <w:drawing>
          <wp:anchor distT="0" distB="0" distL="0" distR="0" simplePos="0" relativeHeight="251665408" behindDoc="0" locked="0" layoutInCell="1" allowOverlap="1">
            <wp:simplePos x="0" y="0"/>
            <wp:positionH relativeFrom="column">
              <wp:posOffset>18415</wp:posOffset>
            </wp:positionH>
            <wp:positionV relativeFrom="paragraph">
              <wp:posOffset>-51435</wp:posOffset>
            </wp:positionV>
            <wp:extent cx="5487670" cy="7678420"/>
            <wp:effectExtent l="9525" t="9525" r="27305" b="27305"/>
            <wp:wrapNone/>
            <wp:docPr id="16" name="图片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25"/>
                    <pic:cNvPicPr>
                      <a:picLocks noChangeAspect="1" noChangeArrowheads="1"/>
                    </pic:cNvPicPr>
                  </pic:nvPicPr>
                  <pic:blipFill>
                    <a:blip r:embed="rId11"/>
                    <a:stretch>
                      <a:fillRect/>
                    </a:stretch>
                  </pic:blipFill>
                  <pic:spPr>
                    <a:xfrm>
                      <a:off x="0" y="0"/>
                      <a:ext cx="5487670" cy="7678420"/>
                    </a:xfrm>
                    <a:prstGeom prst="rect">
                      <a:avLst/>
                    </a:prstGeom>
                    <a:noFill/>
                    <a:ln>
                      <a:solidFill>
                        <a:srgbClr val="000000"/>
                      </a:solidFill>
                    </a:ln>
                    <a:effectLst/>
                  </pic:spPr>
                </pic:pic>
              </a:graphicData>
            </a:graphic>
          </wp:anchor>
        </w:drawing>
      </w:r>
    </w:p>
    <w:p>
      <w:pPr>
        <w:rPr>
          <w:rFonts w:hint="eastAsia" w:eastAsia="方正仿宋_GBK"/>
          <w:lang w:eastAsia="zh-CN"/>
        </w:rPr>
      </w:pPr>
    </w:p>
    <w:p>
      <w:pPr>
        <w:pStyle w:val="2"/>
        <w:rPr>
          <w:rFonts w:hint="eastAsia" w:eastAsia="方正仿宋_GBK"/>
          <w:lang w:eastAsia="zh-CN"/>
        </w:rPr>
      </w:pPr>
    </w:p>
    <w:p>
      <w:pPr>
        <w:rPr>
          <w:rFonts w:hint="eastAsia" w:eastAsia="方正仿宋_GBK"/>
          <w:lang w:eastAsia="zh-CN"/>
        </w:rPr>
      </w:pPr>
    </w:p>
    <w:p>
      <w:pPr>
        <w:pStyle w:val="2"/>
        <w:rPr>
          <w:rFonts w:hint="eastAsia" w:eastAsia="方正仿宋_GBK"/>
          <w:lang w:eastAsia="zh-CN"/>
        </w:rPr>
      </w:pPr>
    </w:p>
    <w:p>
      <w:pPr>
        <w:rPr>
          <w:rFonts w:hint="eastAsia" w:eastAsia="方正仿宋_GBK"/>
          <w:lang w:eastAsia="zh-CN"/>
        </w:rPr>
      </w:pPr>
    </w:p>
    <w:p>
      <w:pPr>
        <w:pStyle w:val="2"/>
        <w:rPr>
          <w:rFonts w:hint="eastAsia" w:eastAsia="方正仿宋_GBK"/>
          <w:lang w:eastAsia="zh-CN"/>
        </w:rPr>
      </w:pPr>
    </w:p>
    <w:p>
      <w:pPr>
        <w:rPr>
          <w:rFonts w:hint="eastAsia" w:eastAsia="方正仿宋_GBK"/>
          <w:lang w:eastAsia="zh-CN"/>
        </w:rPr>
      </w:pPr>
    </w:p>
    <w:p>
      <w:pPr>
        <w:pStyle w:val="2"/>
        <w:rPr>
          <w:rFonts w:hint="eastAsia"/>
          <w:lang w:eastAsia="zh-CN"/>
        </w:rPr>
      </w:pPr>
    </w:p>
    <w:p>
      <w:pPr>
        <w:rPr>
          <w:rFonts w:hint="eastAsia" w:eastAsia="方正仿宋_GBK"/>
          <w:lang w:eastAsia="zh-CN"/>
        </w:rPr>
      </w:pPr>
    </w:p>
    <w:p>
      <w:pPr>
        <w:pStyle w:val="2"/>
        <w:rPr>
          <w:rFonts w:hint="eastAsia" w:eastAsia="方正仿宋_GBK"/>
          <w:lang w:eastAsia="zh-CN"/>
        </w:rPr>
      </w:pPr>
    </w:p>
    <w:p>
      <w:pPr>
        <w:rPr>
          <w:rFonts w:hint="eastAsia" w:eastAsia="方正仿宋_GBK"/>
          <w:lang w:eastAsia="zh-CN"/>
        </w:rPr>
      </w:pPr>
    </w:p>
    <w:p>
      <w:pPr>
        <w:pStyle w:val="2"/>
        <w:rPr>
          <w:rFonts w:hint="eastAsia" w:eastAsia="方正仿宋_GBK"/>
          <w:lang w:eastAsia="zh-CN"/>
        </w:rPr>
      </w:pPr>
      <w:r>
        <w:drawing>
          <wp:inline distT="0" distB="0" distL="0" distR="0">
            <wp:extent cx="5619115" cy="7640320"/>
            <wp:effectExtent l="9525" t="9525" r="10160" b="27305"/>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noChangeArrowheads="1"/>
                    </pic:cNvPicPr>
                  </pic:nvPicPr>
                  <pic:blipFill>
                    <a:blip r:embed="rId12"/>
                    <a:stretch>
                      <a:fillRect/>
                    </a:stretch>
                  </pic:blipFill>
                  <pic:spPr>
                    <a:xfrm>
                      <a:off x="0" y="0"/>
                      <a:ext cx="5619115" cy="7640320"/>
                    </a:xfrm>
                    <a:prstGeom prst="rect">
                      <a:avLst/>
                    </a:prstGeom>
                    <a:noFill/>
                    <a:ln>
                      <a:solidFill>
                        <a:srgbClr val="000000"/>
                      </a:solidFill>
                    </a:ln>
                    <a:effectLst/>
                  </pic:spPr>
                </pic:pic>
              </a:graphicData>
            </a:graphic>
          </wp:inline>
        </w:drawing>
      </w:r>
    </w:p>
    <w:p>
      <w:pPr>
        <w:pStyle w:val="2"/>
        <w:rPr>
          <w:rFonts w:hint="eastAsia" w:eastAsia="方正仿宋_GBK"/>
          <w:lang w:eastAsia="zh-CN"/>
        </w:rPr>
      </w:pPr>
      <w:r>
        <w:rPr>
          <w:rFonts w:hint="eastAsia" w:eastAsia="方正仿宋_GBK"/>
          <w:lang w:eastAsia="zh-CN"/>
        </w:rPr>
        <w:drawing>
          <wp:inline distT="0" distB="0" distL="114300" distR="114300">
            <wp:extent cx="5683885" cy="7774305"/>
            <wp:effectExtent l="0" t="0" r="12065" b="17145"/>
            <wp:docPr id="7" name="图片 7"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1"/>
                    <pic:cNvPicPr>
                      <a:picLocks noChangeAspect="1"/>
                    </pic:cNvPicPr>
                  </pic:nvPicPr>
                  <pic:blipFill>
                    <a:blip r:embed="rId13"/>
                    <a:stretch>
                      <a:fillRect/>
                    </a:stretch>
                  </pic:blipFill>
                  <pic:spPr>
                    <a:xfrm rot="10800000" flipH="1" flipV="1">
                      <a:off x="0" y="0"/>
                      <a:ext cx="5683885" cy="7774305"/>
                    </a:xfrm>
                    <a:prstGeom prst="rect">
                      <a:avLst/>
                    </a:prstGeom>
                    <a:solidFill>
                      <a:schemeClr val="lt1"/>
                    </a:solidFill>
                  </pic:spPr>
                </pic:pic>
              </a:graphicData>
            </a:graphic>
          </wp:inline>
        </w:drawing>
      </w:r>
    </w:p>
    <w:p>
      <w:pPr>
        <w:rPr>
          <w:rFonts w:hint="eastAsia"/>
          <w:lang w:eastAsia="zh-CN"/>
        </w:rPr>
      </w:pPr>
    </w:p>
    <w:p>
      <w:pPr>
        <w:pStyle w:val="10"/>
        <w:pageBreakBefore w:val="0"/>
        <w:kinsoku/>
        <w:wordWrap/>
        <w:overflowPunct/>
        <w:topLinePunct w:val="0"/>
        <w:autoSpaceDE/>
        <w:autoSpaceDN/>
        <w:bidi w:val="0"/>
        <w:spacing w:before="0" w:after="0" w:line="600" w:lineRule="exact"/>
        <w:jc w:val="both"/>
        <w:textAlignment w:val="auto"/>
        <w:rPr>
          <w:rFonts w:hint="eastAsia" w:ascii="方正黑体_GBK" w:hAnsi="仿宋" w:eastAsia="方正黑体_GBK"/>
          <w:b w:val="0"/>
          <w:sz w:val="32"/>
          <w:szCs w:val="32"/>
        </w:rPr>
      </w:pPr>
      <w:bookmarkStart w:id="2" w:name="_Toc97652769"/>
      <w:bookmarkStart w:id="3" w:name="_Toc12368127"/>
      <w:r>
        <w:rPr>
          <w:rFonts w:hint="eastAsia" w:ascii="方正黑体_GBK" w:hAnsi="仿宋" w:eastAsia="方正黑体_GBK"/>
          <w:b w:val="0"/>
          <w:sz w:val="32"/>
          <w:szCs w:val="32"/>
        </w:rPr>
        <w:t>附件4</w:t>
      </w:r>
      <w:bookmarkEnd w:id="2"/>
      <w:bookmarkEnd w:id="3"/>
    </w:p>
    <w:p/>
    <w:p>
      <w:pPr>
        <w:pageBreakBefore w:val="0"/>
        <w:kinsoku/>
        <w:wordWrap/>
        <w:overflowPunct/>
        <w:topLinePunct w:val="0"/>
        <w:autoSpaceDE/>
        <w:autoSpaceDN/>
        <w:bidi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南川区城镇</w:t>
      </w:r>
      <w:r>
        <w:rPr>
          <w:rFonts w:hint="eastAsia" w:ascii="方正小标宋_GBK" w:hAnsi="方正小标宋_GBK" w:eastAsia="方正小标宋_GBK" w:cs="方正小标宋_GBK"/>
          <w:sz w:val="44"/>
          <w:szCs w:val="44"/>
          <w:lang w:eastAsia="zh-CN"/>
        </w:rPr>
        <w:t>国有</w:t>
      </w:r>
      <w:r>
        <w:rPr>
          <w:rFonts w:hint="eastAsia" w:ascii="方正小标宋_GBK" w:hAnsi="方正小标宋_GBK" w:eastAsia="方正小标宋_GBK" w:cs="方正小标宋_GBK"/>
          <w:sz w:val="44"/>
          <w:szCs w:val="44"/>
        </w:rPr>
        <w:t>建设用地使用权基准地价说明</w:t>
      </w:r>
    </w:p>
    <w:p>
      <w:pPr>
        <w:pageBreakBefore w:val="0"/>
        <w:kinsoku/>
        <w:wordWrap/>
        <w:overflowPunct/>
        <w:topLinePunct w:val="0"/>
        <w:autoSpaceDE/>
        <w:autoSpaceDN/>
        <w:bidi w:val="0"/>
        <w:spacing w:line="600" w:lineRule="exact"/>
        <w:ind w:firstLine="880" w:firstLineChars="200"/>
        <w:jc w:val="center"/>
        <w:textAlignment w:val="auto"/>
        <w:rPr>
          <w:rFonts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一、适用范围</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本次公布的南川区基准地价（以下简称基准地价）的使用范围包括南川区东城街道、西城街道、南城街道等3个街道，大观镇、水江镇、南平镇、头渡镇、三泉镇、山王坪镇、金山镇、大有镇、鸣玉镇、神童镇、兴隆镇、白沙镇、石墙镇、太平场镇、合溪镇、黎香湖镇、木凉镇、楠竹山镇、石溪镇、民主镇、福寿镇、德隆镇、乾丰镇、冷水关镇、骑龙镇、河图镇、石莲镇、庆元镇、古花镇等29个镇</w:t>
      </w:r>
      <w:r>
        <w:rPr>
          <w:rFonts w:hint="eastAsia"/>
          <w:sz w:val="32"/>
          <w:szCs w:val="32"/>
          <w:lang w:eastAsia="zh-CN"/>
        </w:rPr>
        <w:t>，</w:t>
      </w:r>
      <w:r>
        <w:rPr>
          <w:rFonts w:eastAsia="方正仿宋_GBK"/>
          <w:sz w:val="32"/>
          <w:szCs w:val="32"/>
        </w:rPr>
        <w:t>峰岩乡、中桥乡等2个乡所辖建设区及规划区域内的所有国有建设用地。</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二、基准地价内涵</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基准地价的内涵为城镇国有建设用地使用权不同级别、不同用途、设定容积率和土地开发程度下，法定最高出让年限的区域平均价格。基准地价的价格表现形式为楼面地价，是指单位建筑面积分摊的完整的国有建设用地使用权的平均价格（单位：元/平方米）。</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（一）基准地价期日</w:t>
      </w:r>
      <w:r>
        <w:rPr>
          <w:rFonts w:hint="eastAsia" w:ascii="方正楷体_GBK" w:hAnsi="方正楷体_GBK" w:eastAsia="方正楷体_GBK" w:cs="方正楷体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2022年1月1日。</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（二）基准地价容积率</w:t>
      </w:r>
      <w:r>
        <w:rPr>
          <w:rFonts w:hint="eastAsia" w:ascii="方正楷体_GBK" w:hAnsi="方正楷体_GBK" w:eastAsia="方正楷体_GBK" w:cs="方正楷体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商服用地2.5，住宅用地2.0，工矿仓储用地1.0，公共管理与公共服务用地1.5。</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（三）基准地价使用年限</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商服40年、住宅70年、工矿仓储50年、公服50年。</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（四）基准地价土地开发程度</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商服、住宅、公共管理与公共服务用地开发程度为“六通一平”，指宗地外通路、通电、通讯、通上水、通下水、通燃气及宗地内场地平整；工矿仓储用地开发程度为“五通一平”，指宗地外通路、通电、通讯、通上水、通下水及宗地内场地平整。</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三、土地用途分类</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基准地价土地用途分为商服、住宅、工矿仓储和公共管理与公共服务用地四类。</w:t>
      </w:r>
    </w:p>
    <w:p>
      <w:pPr>
        <w:keepNext w:val="0"/>
        <w:keepLines w:val="0"/>
        <w:pageBreakBefore w:val="0"/>
        <w:widowControl w:val="0"/>
        <w:tabs>
          <w:tab w:val="left" w:pos="960"/>
        </w:tabs>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（一）商服类</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包括</w:t>
      </w:r>
      <w:r>
        <w:rPr>
          <w:rFonts w:eastAsia="方正仿宋_GBK"/>
          <w:b/>
          <w:bCs/>
          <w:sz w:val="32"/>
          <w:szCs w:val="32"/>
        </w:rPr>
        <w:t>商业用地</w:t>
      </w:r>
      <w:r>
        <w:rPr>
          <w:rFonts w:eastAsia="方正仿宋_GBK"/>
          <w:sz w:val="32"/>
          <w:szCs w:val="32"/>
        </w:rPr>
        <w:t>（指零售商业、批发市场及餐饮、旅馆及公用设施营业网点等服务业用地。</w:t>
      </w:r>
      <w:r>
        <w:rPr>
          <w:rFonts w:eastAsia="方正仿宋_GBK"/>
          <w:b/>
          <w:bCs/>
          <w:sz w:val="32"/>
          <w:szCs w:val="32"/>
        </w:rPr>
        <w:t>零售商业用地：</w:t>
      </w:r>
      <w:r>
        <w:rPr>
          <w:rFonts w:eastAsia="方正仿宋_GBK"/>
          <w:sz w:val="32"/>
          <w:szCs w:val="32"/>
        </w:rPr>
        <w:t>指商铺、商场、超市、服装及小商品市场等用地；</w:t>
      </w:r>
      <w:r>
        <w:rPr>
          <w:rFonts w:eastAsia="方正仿宋_GBK"/>
          <w:b/>
          <w:bCs/>
          <w:sz w:val="32"/>
          <w:szCs w:val="32"/>
        </w:rPr>
        <w:t>批发市场用地：</w:t>
      </w:r>
      <w:r>
        <w:rPr>
          <w:rFonts w:eastAsia="方正仿宋_GBK"/>
          <w:sz w:val="32"/>
          <w:szCs w:val="32"/>
        </w:rPr>
        <w:t>指以批发功能为主的市场用地；</w:t>
      </w:r>
      <w:r>
        <w:rPr>
          <w:rFonts w:eastAsia="方正仿宋_GBK"/>
          <w:b/>
          <w:bCs/>
          <w:sz w:val="32"/>
          <w:szCs w:val="32"/>
        </w:rPr>
        <w:t>餐饮用地：</w:t>
      </w:r>
      <w:r>
        <w:rPr>
          <w:rFonts w:eastAsia="方正仿宋_GBK"/>
          <w:sz w:val="32"/>
          <w:szCs w:val="32"/>
        </w:rPr>
        <w:t>指饭店、餐厅、酒吧等用地；</w:t>
      </w:r>
      <w:r>
        <w:rPr>
          <w:rFonts w:eastAsia="方正仿宋_GBK"/>
          <w:b/>
          <w:bCs/>
          <w:sz w:val="32"/>
          <w:szCs w:val="32"/>
        </w:rPr>
        <w:t>旅馆用地：</w:t>
      </w:r>
      <w:r>
        <w:rPr>
          <w:rFonts w:eastAsia="方正仿宋_GBK"/>
          <w:sz w:val="32"/>
          <w:szCs w:val="32"/>
        </w:rPr>
        <w:t>指宾馆、旅馆、招待所、服务型公寓、有住宿功能的度假村等用地；</w:t>
      </w:r>
      <w:r>
        <w:rPr>
          <w:rFonts w:eastAsia="方正仿宋_GBK"/>
          <w:b/>
          <w:bCs/>
          <w:sz w:val="32"/>
          <w:szCs w:val="32"/>
        </w:rPr>
        <w:t>公用设施营业网点用地：</w:t>
      </w:r>
      <w:r>
        <w:rPr>
          <w:rFonts w:eastAsia="方正仿宋_GBK"/>
          <w:sz w:val="32"/>
          <w:szCs w:val="32"/>
        </w:rPr>
        <w:t>指零售加油、加气、充换电站、电信、邮政、供水、燃气、供电、供热等公用设施营业网点用地）</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3" w:firstLineChars="200"/>
        <w:jc w:val="both"/>
        <w:textAlignment w:val="auto"/>
        <w:outlineLvl w:val="9"/>
        <w:rPr>
          <w:rFonts w:hint="eastAsia" w:eastAsia="方正仿宋_GBK"/>
          <w:sz w:val="32"/>
          <w:szCs w:val="32"/>
          <w:lang w:eastAsia="zh-CN"/>
        </w:rPr>
      </w:pPr>
      <w:r>
        <w:rPr>
          <w:rFonts w:eastAsia="方正仿宋_GBK"/>
          <w:b/>
          <w:sz w:val="32"/>
          <w:szCs w:val="32"/>
        </w:rPr>
        <w:t>商务金融用地</w:t>
      </w:r>
      <w:r>
        <w:rPr>
          <w:rFonts w:eastAsia="方正仿宋_GBK"/>
          <w:sz w:val="32"/>
          <w:szCs w:val="32"/>
        </w:rPr>
        <w:t>（指金融保险、艺术传媒、研发设计、技术服务、物流管理中心等综合性办公用地）</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3" w:firstLineChars="200"/>
        <w:jc w:val="both"/>
        <w:textAlignment w:val="auto"/>
        <w:outlineLvl w:val="9"/>
        <w:rPr>
          <w:rFonts w:hint="eastAsia" w:eastAsia="方正仿宋_GBK"/>
          <w:sz w:val="32"/>
          <w:szCs w:val="32"/>
          <w:lang w:eastAsia="zh-CN"/>
        </w:rPr>
      </w:pPr>
      <w:r>
        <w:rPr>
          <w:rFonts w:eastAsia="方正仿宋_GBK"/>
          <w:b/>
          <w:sz w:val="32"/>
          <w:szCs w:val="32"/>
        </w:rPr>
        <w:t>娱乐康体用地</w:t>
      </w:r>
      <w:r>
        <w:rPr>
          <w:rFonts w:eastAsia="方正仿宋_GBK"/>
          <w:sz w:val="32"/>
          <w:szCs w:val="32"/>
        </w:rPr>
        <w:t>（指各类娱乐、康体等设施用地。</w:t>
      </w:r>
      <w:r>
        <w:rPr>
          <w:rFonts w:eastAsia="方正仿宋_GBK"/>
          <w:b/>
          <w:bCs/>
          <w:sz w:val="32"/>
          <w:szCs w:val="32"/>
        </w:rPr>
        <w:t>娱乐用地：</w:t>
      </w:r>
      <w:r>
        <w:rPr>
          <w:rFonts w:eastAsia="方正仿宋_GBK"/>
          <w:sz w:val="32"/>
          <w:szCs w:val="32"/>
        </w:rPr>
        <w:t>指剧院、音乐厅、电影院、歌舞厅、网吧以及绿地率小于65%的大型游乐等设施用地；</w:t>
      </w:r>
      <w:r>
        <w:rPr>
          <w:rFonts w:eastAsia="方正仿宋_GBK"/>
          <w:b/>
          <w:bCs/>
          <w:sz w:val="32"/>
          <w:szCs w:val="32"/>
        </w:rPr>
        <w:t>康体用地：</w:t>
      </w:r>
      <w:r>
        <w:rPr>
          <w:rFonts w:eastAsia="方正仿宋_GBK"/>
          <w:sz w:val="32"/>
          <w:szCs w:val="32"/>
        </w:rPr>
        <w:t>指高尔夫练习场、赛马场、溜冰场、跳伞场、摩托车场、射击场，以及水上运动的陆域部分等用地）</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3" w:firstLineChars="200"/>
        <w:jc w:val="both"/>
        <w:textAlignment w:val="auto"/>
        <w:outlineLvl w:val="9"/>
        <w:rPr>
          <w:rFonts w:eastAsia="方正仿宋_GBK"/>
          <w:sz w:val="32"/>
          <w:szCs w:val="32"/>
        </w:rPr>
      </w:pPr>
      <w:r>
        <w:rPr>
          <w:rFonts w:eastAsia="方正仿宋_GBK"/>
          <w:b/>
          <w:sz w:val="32"/>
          <w:szCs w:val="32"/>
        </w:rPr>
        <w:t>其他商业服务业用地</w:t>
      </w:r>
      <w:r>
        <w:rPr>
          <w:rFonts w:eastAsia="方正仿宋_GBK"/>
          <w:sz w:val="32"/>
          <w:szCs w:val="32"/>
        </w:rPr>
        <w:t>（指除以上之外的商业服务业用地，包括以观光娱乐为目的的直升机停机坪等通用航空、汽车维修站以及宠物医院、洗车场、洗染店、照相馆、理发美容店、洗浴场所、废旧物资回收站、机动车、电子产品和日用产品修理网点、物流营业网点等用地）。</w:t>
      </w:r>
    </w:p>
    <w:p>
      <w:pPr>
        <w:keepNext w:val="0"/>
        <w:keepLines w:val="0"/>
        <w:pageBreakBefore w:val="0"/>
        <w:widowControl w:val="0"/>
        <w:tabs>
          <w:tab w:val="left" w:pos="960"/>
        </w:tabs>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（二）住宅类</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3" w:firstLineChars="200"/>
        <w:jc w:val="both"/>
        <w:textAlignment w:val="auto"/>
        <w:outlineLvl w:val="9"/>
        <w:rPr>
          <w:rFonts w:eastAsia="方正仿宋_GBK"/>
          <w:sz w:val="32"/>
          <w:szCs w:val="32"/>
        </w:rPr>
      </w:pPr>
      <w:r>
        <w:rPr>
          <w:rFonts w:eastAsia="方正仿宋_GBK"/>
          <w:b/>
          <w:bCs/>
          <w:sz w:val="32"/>
          <w:szCs w:val="32"/>
        </w:rPr>
        <w:t>包括城镇住宅用地</w:t>
      </w:r>
      <w:r>
        <w:rPr>
          <w:rFonts w:hint="eastAsia"/>
          <w:sz w:val="32"/>
          <w:szCs w:val="32"/>
          <w:lang w:eastAsia="zh-CN"/>
        </w:rPr>
        <w:t>（</w:t>
      </w:r>
      <w:r>
        <w:rPr>
          <w:rFonts w:eastAsia="方正仿宋_GBK"/>
          <w:sz w:val="32"/>
          <w:szCs w:val="32"/>
        </w:rPr>
        <w:t>指</w:t>
      </w:r>
      <w:r>
        <w:rPr>
          <w:rFonts w:hint="eastAsia" w:eastAsia="方正仿宋_GBK"/>
          <w:sz w:val="32"/>
          <w:szCs w:val="32"/>
          <w:lang w:eastAsia="zh-CN"/>
        </w:rPr>
        <w:t>用于城镇生活居住功能的各类住宅建筑用地及其附属设施用地）</w:t>
      </w:r>
      <w:r>
        <w:rPr>
          <w:rFonts w:eastAsia="方正仿宋_GBK"/>
          <w:sz w:val="32"/>
          <w:szCs w:val="32"/>
        </w:rPr>
        <w:t>；</w:t>
      </w:r>
      <w:r>
        <w:rPr>
          <w:rFonts w:eastAsia="方正仿宋_GBK"/>
          <w:b/>
          <w:bCs/>
          <w:sz w:val="32"/>
          <w:szCs w:val="32"/>
        </w:rPr>
        <w:t>城镇社区服务设施用地</w:t>
      </w:r>
      <w:r>
        <w:rPr>
          <w:rFonts w:hint="eastAsia" w:eastAsia="方正仿宋_GBK"/>
          <w:sz w:val="32"/>
          <w:szCs w:val="32"/>
          <w:lang w:eastAsia="zh-CN"/>
        </w:rPr>
        <w:t>（</w:t>
      </w:r>
      <w:r>
        <w:rPr>
          <w:rFonts w:eastAsia="方正仿宋_GBK"/>
          <w:sz w:val="32"/>
          <w:szCs w:val="32"/>
        </w:rPr>
        <w:t>指为城镇居住生活配套的社区服务设施用地，包括社区服务站以及托儿所、社区卫生服务站、文化活动站、小型综合体育场地、小型超市等用地，以及老年人日间照料中心（托老所）等社区养老服务设施用地，不包括中小学、幼儿园用地</w:t>
      </w:r>
      <w:r>
        <w:rPr>
          <w:rFonts w:hint="eastAsia" w:eastAsia="方正仿宋_GBK"/>
          <w:sz w:val="32"/>
          <w:szCs w:val="32"/>
          <w:lang w:eastAsia="zh-CN"/>
        </w:rPr>
        <w:t>）</w:t>
      </w:r>
      <w:r>
        <w:rPr>
          <w:rFonts w:eastAsia="方正仿宋_GBK"/>
          <w:sz w:val="32"/>
          <w:szCs w:val="32"/>
        </w:rPr>
        <w:t>。</w:t>
      </w:r>
    </w:p>
    <w:p>
      <w:pPr>
        <w:keepNext w:val="0"/>
        <w:keepLines w:val="0"/>
        <w:pageBreakBefore w:val="0"/>
        <w:widowControl w:val="0"/>
        <w:tabs>
          <w:tab w:val="left" w:pos="960"/>
        </w:tabs>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（三）工矿仓储类</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包括</w:t>
      </w:r>
      <w:r>
        <w:rPr>
          <w:rFonts w:eastAsia="方正仿宋_GBK"/>
          <w:b/>
          <w:sz w:val="32"/>
          <w:szCs w:val="32"/>
        </w:rPr>
        <w:t>工业用地</w:t>
      </w:r>
      <w:r>
        <w:rPr>
          <w:rFonts w:eastAsia="方正仿宋_GBK"/>
          <w:sz w:val="32"/>
          <w:szCs w:val="32"/>
        </w:rPr>
        <w:t>（指工矿企业的生产车间、装备修理、自用库房及其附属设施用地，包括专用铁路、码头和附属道路、停车场等用地，不包括采矿用地）；</w:t>
      </w:r>
      <w:r>
        <w:rPr>
          <w:rFonts w:eastAsia="方正仿宋_GBK"/>
          <w:b/>
          <w:sz w:val="32"/>
          <w:szCs w:val="32"/>
        </w:rPr>
        <w:t>仓储用地</w:t>
      </w:r>
      <w:r>
        <w:rPr>
          <w:rFonts w:eastAsia="方正仿宋_GBK"/>
          <w:sz w:val="32"/>
          <w:szCs w:val="32"/>
        </w:rPr>
        <w:t>（指物流仓储和战略性物资储备库用地）；</w:t>
      </w:r>
      <w:r>
        <w:rPr>
          <w:rFonts w:eastAsia="方正仿宋_GBK"/>
          <w:b/>
          <w:sz w:val="32"/>
          <w:szCs w:val="32"/>
        </w:rPr>
        <w:t>采矿用地</w:t>
      </w:r>
      <w:r>
        <w:rPr>
          <w:rFonts w:eastAsia="方正仿宋_GBK"/>
          <w:sz w:val="32"/>
          <w:szCs w:val="32"/>
        </w:rPr>
        <w:t>（指采矿、采石、采砂（沙）场，砖瓦窑等地面生产用地及排土（石）、尾矿堆放用地）。</w:t>
      </w:r>
    </w:p>
    <w:p>
      <w:pPr>
        <w:keepNext w:val="0"/>
        <w:keepLines w:val="0"/>
        <w:pageBreakBefore w:val="0"/>
        <w:widowControl w:val="0"/>
        <w:tabs>
          <w:tab w:val="left" w:pos="960"/>
        </w:tabs>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bCs/>
          <w:sz w:val="32"/>
          <w:szCs w:val="32"/>
          <w:lang w:eastAsia="zh-CN"/>
        </w:rPr>
      </w:pPr>
      <w:r>
        <w:rPr>
          <w:rFonts w:hint="eastAsia" w:ascii="方正楷体_GBK" w:hAnsi="方正楷体_GBK" w:eastAsia="方正楷体_GBK" w:cs="方正楷体_GBK"/>
          <w:bCs/>
          <w:sz w:val="32"/>
          <w:szCs w:val="32"/>
        </w:rPr>
        <w:t>（四）公共管理与公共服务类</w:t>
      </w:r>
      <w:r>
        <w:rPr>
          <w:rFonts w:hint="eastAsia" w:ascii="方正楷体_GBK" w:hAnsi="方正楷体_GBK" w:eastAsia="方正楷体_GBK" w:cs="方正楷体_GBK"/>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color w:val="auto"/>
          <w:sz w:val="32"/>
          <w:szCs w:val="32"/>
          <w:u w:val="none"/>
        </w:rPr>
      </w:pPr>
      <w:r>
        <w:rPr>
          <w:rFonts w:eastAsia="方正仿宋_GBK"/>
          <w:color w:val="auto"/>
          <w:sz w:val="32"/>
          <w:szCs w:val="32"/>
          <w:u w:val="none"/>
        </w:rPr>
        <w:t>包括</w:t>
      </w:r>
      <w:r>
        <w:rPr>
          <w:rFonts w:eastAsia="方正仿宋_GBK"/>
          <w:b/>
          <w:bCs/>
          <w:color w:val="auto"/>
          <w:sz w:val="32"/>
          <w:szCs w:val="32"/>
          <w:u w:val="none"/>
        </w:rPr>
        <w:t>机关团体用地</w:t>
      </w:r>
      <w:r>
        <w:rPr>
          <w:rFonts w:eastAsia="方正仿宋_GBK"/>
          <w:color w:val="auto"/>
          <w:sz w:val="32"/>
          <w:szCs w:val="32"/>
          <w:u w:val="none"/>
        </w:rPr>
        <w:t>（指党政机关、人民团体及其相关直属机构、派出机构和直属事业单位的办公及附属设施用地）；</w:t>
      </w:r>
      <w:r>
        <w:rPr>
          <w:rFonts w:eastAsia="方正仿宋_GBK"/>
          <w:b/>
          <w:bCs/>
          <w:color w:val="auto"/>
          <w:sz w:val="32"/>
          <w:szCs w:val="32"/>
          <w:u w:val="none"/>
        </w:rPr>
        <w:t>科研用地</w:t>
      </w:r>
      <w:r>
        <w:rPr>
          <w:rFonts w:eastAsia="方正仿宋_GBK"/>
          <w:color w:val="auto"/>
          <w:sz w:val="32"/>
          <w:szCs w:val="32"/>
          <w:u w:val="none"/>
        </w:rPr>
        <w:t>（指科研机构及其科研设施用地）；</w:t>
      </w:r>
      <w:r>
        <w:rPr>
          <w:rFonts w:eastAsia="方正仿宋_GBK"/>
          <w:b/>
          <w:bCs/>
          <w:color w:val="auto"/>
          <w:sz w:val="32"/>
          <w:szCs w:val="32"/>
          <w:u w:val="none"/>
        </w:rPr>
        <w:t>文化用地</w:t>
      </w:r>
      <w:r>
        <w:rPr>
          <w:rFonts w:eastAsia="方正仿宋_GBK"/>
          <w:color w:val="auto"/>
          <w:sz w:val="32"/>
          <w:szCs w:val="32"/>
          <w:u w:val="none"/>
        </w:rPr>
        <w:t>（指图书、展览等公共文化活动设施用地）；</w:t>
      </w:r>
      <w:r>
        <w:rPr>
          <w:rFonts w:eastAsia="方正仿宋_GBK"/>
          <w:b/>
          <w:bCs/>
          <w:color w:val="auto"/>
          <w:sz w:val="32"/>
          <w:szCs w:val="32"/>
          <w:u w:val="none"/>
        </w:rPr>
        <w:t>教育用地</w:t>
      </w:r>
      <w:r>
        <w:rPr>
          <w:rFonts w:eastAsia="方正仿宋_GBK"/>
          <w:color w:val="auto"/>
          <w:sz w:val="32"/>
          <w:szCs w:val="32"/>
          <w:u w:val="none"/>
        </w:rPr>
        <w:t>（指高等教育、中等职业教育、中小学教育、幼儿园、特殊教育设施等用地，包括为学校配建的独立地段的学生生活用地）；</w:t>
      </w:r>
      <w:r>
        <w:rPr>
          <w:rFonts w:eastAsia="方正仿宋_GBK"/>
          <w:b/>
          <w:bCs/>
          <w:color w:val="auto"/>
          <w:sz w:val="32"/>
          <w:szCs w:val="32"/>
          <w:u w:val="none"/>
        </w:rPr>
        <w:t>体育用地</w:t>
      </w:r>
      <w:r>
        <w:rPr>
          <w:rFonts w:eastAsia="方正仿宋_GBK"/>
          <w:color w:val="auto"/>
          <w:sz w:val="32"/>
          <w:szCs w:val="32"/>
          <w:u w:val="none"/>
        </w:rPr>
        <w:t>（指体育场馆和体育训练基地等用地，不包括学校、企事业、军队等机构内部专用的体育设施用地）；</w:t>
      </w:r>
      <w:r>
        <w:rPr>
          <w:rFonts w:eastAsia="方正仿宋_GBK"/>
          <w:b/>
          <w:bCs/>
          <w:color w:val="auto"/>
          <w:sz w:val="32"/>
          <w:szCs w:val="32"/>
          <w:u w:val="none"/>
        </w:rPr>
        <w:t>医疗卫生用地</w:t>
      </w:r>
      <w:r>
        <w:rPr>
          <w:rFonts w:eastAsia="方正仿宋_GBK"/>
          <w:color w:val="auto"/>
          <w:sz w:val="32"/>
          <w:szCs w:val="32"/>
          <w:u w:val="none"/>
        </w:rPr>
        <w:t>（指医疗、预防、保健、护理、康复、急救、安宁疗护等用地）；</w:t>
      </w:r>
      <w:r>
        <w:rPr>
          <w:rFonts w:eastAsia="方正仿宋_GBK"/>
          <w:b/>
          <w:bCs/>
          <w:color w:val="auto"/>
          <w:sz w:val="32"/>
          <w:szCs w:val="32"/>
          <w:u w:val="none"/>
        </w:rPr>
        <w:t>社会福利设施用地</w:t>
      </w:r>
      <w:r>
        <w:rPr>
          <w:rFonts w:eastAsia="方正仿宋_GBK"/>
          <w:color w:val="auto"/>
          <w:sz w:val="32"/>
          <w:szCs w:val="32"/>
          <w:u w:val="none"/>
        </w:rPr>
        <w:t>（指为老年人、儿童及残疾人等提供社会福利和慈善服务的设施用地）</w:t>
      </w:r>
      <w:r>
        <w:rPr>
          <w:rFonts w:hint="eastAsia" w:eastAsia="方正仿宋_GBK"/>
          <w:color w:val="auto"/>
          <w:sz w:val="32"/>
          <w:szCs w:val="32"/>
          <w:u w:val="none"/>
          <w:lang w:eastAsia="zh-CN"/>
        </w:rPr>
        <w:t>；</w:t>
      </w:r>
      <w:r>
        <w:rPr>
          <w:rFonts w:eastAsia="方正仿宋_GBK"/>
          <w:b/>
          <w:color w:val="auto"/>
          <w:sz w:val="32"/>
          <w:szCs w:val="32"/>
          <w:u w:val="none"/>
        </w:rPr>
        <w:t>公用设施用地</w:t>
      </w:r>
      <w:r>
        <w:rPr>
          <w:rFonts w:eastAsia="方正仿宋_GBK"/>
          <w:color w:val="auto"/>
          <w:sz w:val="32"/>
          <w:szCs w:val="32"/>
          <w:u w:val="none"/>
        </w:rPr>
        <w:t>（指用于城乡和区域基础设施的供水、排水、供电、供燃气、供热、通信、邮政、广播电视、环卫、消防、干渠、水工等设施用地）</w:t>
      </w:r>
      <w:r>
        <w:rPr>
          <w:rFonts w:hint="eastAsia" w:eastAsia="方正仿宋_GBK"/>
          <w:color w:val="auto"/>
          <w:sz w:val="32"/>
          <w:szCs w:val="32"/>
          <w:u w:val="none"/>
          <w:lang w:eastAsia="zh-CN"/>
        </w:rPr>
        <w:t>；</w:t>
      </w:r>
      <w:r>
        <w:rPr>
          <w:rFonts w:eastAsia="方正仿宋_GBK"/>
          <w:b/>
          <w:color w:val="auto"/>
          <w:sz w:val="32"/>
          <w:szCs w:val="32"/>
          <w:u w:val="none"/>
        </w:rPr>
        <w:t>殡葬用地</w:t>
      </w:r>
      <w:r>
        <w:rPr>
          <w:rFonts w:eastAsia="方正仿宋_GBK"/>
          <w:color w:val="auto"/>
          <w:sz w:val="32"/>
          <w:szCs w:val="32"/>
          <w:u w:val="none"/>
        </w:rPr>
        <w:t>（指殡仪馆、火葬场、骨灰存放处和陵园、墓地等用地）</w:t>
      </w:r>
      <w:r>
        <w:rPr>
          <w:rFonts w:hint="eastAsia" w:eastAsia="方正仿宋_GBK"/>
          <w:color w:val="auto"/>
          <w:sz w:val="32"/>
          <w:szCs w:val="32"/>
          <w:u w:val="none"/>
          <w:lang w:eastAsia="zh-CN"/>
        </w:rPr>
        <w:t>；</w:t>
      </w:r>
      <w:r>
        <w:rPr>
          <w:rFonts w:eastAsia="方正仿宋_GBK"/>
          <w:b/>
          <w:color w:val="auto"/>
          <w:sz w:val="32"/>
          <w:szCs w:val="32"/>
          <w:u w:val="none"/>
        </w:rPr>
        <w:t>交通运输用地</w:t>
      </w:r>
      <w:r>
        <w:rPr>
          <w:rFonts w:eastAsia="方正仿宋_GBK"/>
          <w:color w:val="auto"/>
          <w:sz w:val="32"/>
          <w:szCs w:val="32"/>
          <w:u w:val="none"/>
        </w:rPr>
        <w:t>（指铁路、公路、机场、港口码头、管道运输、各种道路以及交通场站等交通运输设施及其附属设施用地，不包括其他用地内的附属道路、停车场等用地）。</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其他未列入上述范围的用地，其用途类别可参照相关或相近用地用途类别确定。工</w:t>
      </w:r>
      <w:r>
        <w:rPr>
          <w:rFonts w:hint="eastAsia" w:eastAsia="方正仿宋_GBK"/>
          <w:sz w:val="32"/>
          <w:szCs w:val="32"/>
        </w:rPr>
        <w:t>矿</w:t>
      </w:r>
      <w:r>
        <w:rPr>
          <w:rFonts w:eastAsia="方正仿宋_GBK"/>
          <w:sz w:val="32"/>
          <w:szCs w:val="32"/>
        </w:rPr>
        <w:t>仓储类、公共管理与公共服务类用地中的配套经营性设施用地，应参照商服用途确定。</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四、基准地价的应用</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运用基准地价系数修正法进行宗地价格评估时应适用对应用途级别的基准地价，并根据宗地实际情况进行土地用途、期日、年期、容积率、区域和个别因素及土地开发程度等修正。评估多用途混合的宗地价格时，应按各具体用途分别修正后加权测算。</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（一）宗地价格计算公式</w:t>
      </w:r>
      <w:r>
        <w:rPr>
          <w:rFonts w:hint="eastAsia" w:ascii="方正楷体_GBK" w:hAnsi="方正楷体_GBK" w:eastAsia="方正楷体_GBK" w:cs="方正楷体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1</w:t>
      </w:r>
      <w:r>
        <w:rPr>
          <w:rFonts w:hint="eastAsia" w:eastAsia="方正仿宋_GBK"/>
          <w:sz w:val="32"/>
          <w:szCs w:val="32"/>
          <w:lang w:val="en-US" w:eastAsia="zh-CN"/>
        </w:rPr>
        <w:t>.</w:t>
      </w:r>
      <w:r>
        <w:rPr>
          <w:rFonts w:eastAsia="方正仿宋_GBK"/>
          <w:sz w:val="32"/>
          <w:szCs w:val="32"/>
        </w:rPr>
        <w:t>地上计容部分</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楼面地价=适用的基准地价×土地用途修正系数×期日修正系数×年期修正系数×容积率修正系数×区域和个别因素修正系数±土地开发程度修正值</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地面价=楼面地价×R</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R为设定容积率（工业用地R为1；商业、办公、住宅用地设定容积率小于1时，R取1）。</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2</w:t>
      </w:r>
      <w:r>
        <w:rPr>
          <w:rFonts w:hint="eastAsia" w:eastAsia="方正仿宋_GBK"/>
          <w:sz w:val="32"/>
          <w:szCs w:val="32"/>
          <w:lang w:val="en-US" w:eastAsia="zh-CN"/>
        </w:rPr>
        <w:t>.</w:t>
      </w:r>
      <w:r>
        <w:rPr>
          <w:rFonts w:eastAsia="方正仿宋_GBK"/>
          <w:sz w:val="32"/>
          <w:szCs w:val="32"/>
        </w:rPr>
        <w:t>地下不计容部分</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楼面地价=适用的基准地价×相应用途地下空间修正系数×期日修正系数×年期修正系数×区域和个别因素修正系数±土地开发程度修正值</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地面价=楼面地价×（建筑面积÷宗地土地面积）</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（二）宗地价格测算在有关参数的确定</w:t>
      </w:r>
      <w:r>
        <w:rPr>
          <w:rFonts w:hint="eastAsia" w:ascii="方正楷体_GBK" w:hAnsi="方正楷体_GBK" w:eastAsia="方正楷体_GBK" w:cs="方正楷体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1.适用的基准地价的确定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根据宗地的法定用途，按照本说明第三条规定的基准地价分类，确定适用的基准地价用途后，根据本次公布实施的土地级别，确定对应用途级别应适用的基准地价。</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2.用途修正系数的确定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宗地需要进行用途修正的，按照《土地用途修正系数表》确定用途修正系数。地下不计容部分应根据《地下空间修正系数表》相应用途比准类别确定相应用途地下空间修正系数。</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3.期日修正系数的确定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期日修正系数=宗地估价期日的地价指数÷基准地价期日的地价指数</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宗地估价期日的地价指数以重庆市地价动态监测成果公布的地价指数、地价增长率为准。</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4.土地使用年期修正系数的确定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年期修正系数=</w:t>
      </w:r>
      <w:r>
        <w:rPr>
          <w:rFonts w:eastAsia="方正仿宋_GBK"/>
          <w:position w:val="-28"/>
          <w:sz w:val="32"/>
          <w:szCs w:val="32"/>
        </w:rPr>
        <w:pict>
          <v:shape id="_x0000_s1027" o:spid="_x0000_s1027" o:spt="75" type="#_x0000_t75" style="position:absolute;left:0pt;margin-left:137pt;margin-top:5.25pt;height:36.75pt;width:108.75pt;z-index:251664384;mso-width-relative:page;mso-height-relative:page;" o:ole="t" filled="f" o:preferrelative="t" stroked="f" coordsize="21600,21600">
            <v:path/>
            <v:fill on="f" focussize="0,0"/>
            <v:stroke on="f" joinstyle="miter"/>
            <v:imagedata r:id="rId15" o:title=""/>
            <o:lock v:ext="edit" aspectratio="t"/>
          </v:shape>
          <o:OLEObject Type="Embed" ProgID="Equation.3" ShapeID="_x0000_s1027" DrawAspect="Content" ObjectID="_1468075725" r:id="rId14">
            <o:LockedField>false</o:LockedField>
          </o:OLEObject>
        </w:pict>
      </w:r>
      <w:r>
        <w:rPr>
          <w:rFonts w:hint="eastAsia" w:eastAsia="方正仿宋_GBK"/>
          <w:sz w:val="32"/>
          <w:szCs w:val="32"/>
          <w:lang w:val="en-US" w:eastAsia="zh-CN"/>
        </w:rPr>
        <w:t xml:space="preserve">              </w:t>
      </w:r>
      <w:r>
        <w:rPr>
          <w:rFonts w:eastAsia="方正仿宋_GBK"/>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r为土地还原率</w:t>
      </w:r>
      <w:r>
        <w:rPr>
          <w:rFonts w:hint="eastAsia" w:eastAsia="方正仿宋_GBK"/>
          <w:sz w:val="32"/>
          <w:szCs w:val="32"/>
        </w:rPr>
        <w:t>（</w:t>
      </w:r>
      <w:r>
        <w:rPr>
          <w:rFonts w:eastAsia="方正仿宋_GBK"/>
          <w:sz w:val="32"/>
          <w:szCs w:val="32"/>
        </w:rPr>
        <w:t>商服、住宅、工矿仓储、公共管理与公共服务分别为6.15%、5.65%、4.61%、4.95%</w:t>
      </w:r>
      <w:r>
        <w:rPr>
          <w:rFonts w:hint="eastAsia" w:eastAsia="方正仿宋_GBK"/>
          <w:sz w:val="32"/>
          <w:szCs w:val="32"/>
        </w:rPr>
        <w:t>）</w:t>
      </w:r>
      <w:r>
        <w:rPr>
          <w:rFonts w:eastAsia="方正仿宋_GBK"/>
          <w:sz w:val="32"/>
          <w:szCs w:val="32"/>
        </w:rPr>
        <w:t>；n为宗地剩余使用年限；m为基准地价规定的相应用途土地使用年限。</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5.容积率修正系数的确定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按照宗地的法定容积率（R），根据《容积率修正系数表》确定容积率修正系数。商服、住宅、公服容积率小于1时，按容积率1确定修正系数；商服大于4.5时，按容积率4.5确定修正系数；住宅用地大于4.0时，按照容积率4.0确定修正系数；公服用地大于3.5时，按照容积率3.5确定修正系数；</w:t>
      </w:r>
      <w:r>
        <w:rPr>
          <w:rFonts w:hint="eastAsia" w:eastAsia="方正仿宋_GBK"/>
          <w:sz w:val="32"/>
          <w:szCs w:val="32"/>
        </w:rPr>
        <w:t>工</w:t>
      </w:r>
      <w:r>
        <w:rPr>
          <w:rFonts w:eastAsia="方正仿宋_GBK"/>
          <w:sz w:val="32"/>
          <w:szCs w:val="32"/>
        </w:rPr>
        <w:t>矿仓储用地不进行容积率修正。</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当R</w:t>
      </w:r>
      <w:r>
        <w:rPr>
          <w:rFonts w:eastAsia="方正仿宋_GBK"/>
          <w:sz w:val="32"/>
          <w:szCs w:val="32"/>
          <w:vertAlign w:val="subscript"/>
        </w:rPr>
        <w:t>1</w:t>
      </w:r>
      <w:r>
        <w:rPr>
          <w:rFonts w:eastAsia="方正仿宋_GBK"/>
          <w:sz w:val="32"/>
          <w:szCs w:val="32"/>
        </w:rPr>
        <w:t>＜R＜R</w:t>
      </w:r>
      <w:r>
        <w:rPr>
          <w:rFonts w:eastAsia="方正仿宋_GBK"/>
          <w:sz w:val="32"/>
          <w:szCs w:val="32"/>
          <w:vertAlign w:val="subscript"/>
        </w:rPr>
        <w:t>2</w:t>
      </w:r>
      <w:r>
        <w:rPr>
          <w:rFonts w:eastAsia="方正仿宋_GBK"/>
          <w:sz w:val="32"/>
          <w:szCs w:val="32"/>
        </w:rPr>
        <w:t>（R</w:t>
      </w:r>
      <w:r>
        <w:rPr>
          <w:rFonts w:eastAsia="方正仿宋_GBK"/>
          <w:sz w:val="32"/>
          <w:szCs w:val="32"/>
          <w:vertAlign w:val="subscript"/>
        </w:rPr>
        <w:t>1</w:t>
      </w:r>
      <w:r>
        <w:rPr>
          <w:rFonts w:eastAsia="方正仿宋_GBK"/>
          <w:sz w:val="32"/>
          <w:szCs w:val="32"/>
        </w:rPr>
        <w:t>、R</w:t>
      </w:r>
      <w:r>
        <w:rPr>
          <w:rFonts w:eastAsia="方正仿宋_GBK"/>
          <w:sz w:val="32"/>
          <w:szCs w:val="32"/>
          <w:vertAlign w:val="subscript"/>
        </w:rPr>
        <w:t>2</w:t>
      </w:r>
      <w:r>
        <w:rPr>
          <w:rFonts w:eastAsia="方正仿宋_GBK"/>
          <w:sz w:val="32"/>
          <w:szCs w:val="32"/>
        </w:rPr>
        <w:t>为上述《容积率修正系数表》中所列的相邻容积率）时，按下列公式计算容积率修正系数（X）</w:t>
      </w:r>
      <w:r>
        <w:rPr>
          <w:rFonts w:hint="eastAsia" w:eastAsia="方正仿宋_GBK"/>
          <w:sz w:val="32"/>
          <w:szCs w:val="32"/>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72" w:firstLineChars="200"/>
        <w:jc w:val="both"/>
        <w:textAlignment w:val="auto"/>
        <w:outlineLvl w:val="9"/>
        <w:rPr>
          <w:rFonts w:hint="eastAsia" w:eastAsia="方正仿宋_GBK"/>
          <w:spacing w:val="8"/>
          <w:sz w:val="32"/>
          <w:szCs w:val="32"/>
          <w:lang w:eastAsia="zh-CN"/>
        </w:rPr>
      </w:pPr>
      <w:r>
        <w:rPr>
          <w:rFonts w:eastAsia="方正仿宋_GBK"/>
          <w:spacing w:val="8"/>
          <w:sz w:val="32"/>
          <w:szCs w:val="32"/>
        </w:rPr>
        <w:t>X=X</w:t>
      </w:r>
      <w:r>
        <w:rPr>
          <w:rFonts w:eastAsia="方正仿宋_GBK"/>
          <w:spacing w:val="8"/>
          <w:sz w:val="32"/>
          <w:szCs w:val="32"/>
          <w:vertAlign w:val="subscript"/>
        </w:rPr>
        <w:t>1</w:t>
      </w:r>
      <w:r>
        <w:rPr>
          <w:rFonts w:eastAsia="方正仿宋_GBK"/>
          <w:spacing w:val="8"/>
          <w:sz w:val="32"/>
          <w:szCs w:val="32"/>
        </w:rPr>
        <w:t>+</w:t>
      </w:r>
      <w:r>
        <w:rPr>
          <w:rFonts w:eastAsia="方正仿宋_GBK"/>
          <w:sz w:val="32"/>
          <w:szCs w:val="32"/>
        </w:rPr>
        <w:t>（</w:t>
      </w:r>
      <w:r>
        <w:rPr>
          <w:rFonts w:eastAsia="方正仿宋_GBK"/>
          <w:spacing w:val="8"/>
          <w:sz w:val="32"/>
          <w:szCs w:val="32"/>
        </w:rPr>
        <w:t>X</w:t>
      </w:r>
      <w:r>
        <w:rPr>
          <w:rFonts w:eastAsia="方正仿宋_GBK"/>
          <w:spacing w:val="8"/>
          <w:sz w:val="32"/>
          <w:szCs w:val="32"/>
          <w:vertAlign w:val="subscript"/>
        </w:rPr>
        <w:t>2</w:t>
      </w:r>
      <w:r>
        <w:rPr>
          <w:rFonts w:eastAsia="方正仿宋_GBK"/>
          <w:spacing w:val="8"/>
          <w:sz w:val="32"/>
          <w:szCs w:val="32"/>
        </w:rPr>
        <w:t>-X</w:t>
      </w:r>
      <w:r>
        <w:rPr>
          <w:rFonts w:eastAsia="方正仿宋_GBK"/>
          <w:spacing w:val="8"/>
          <w:sz w:val="32"/>
          <w:szCs w:val="32"/>
          <w:vertAlign w:val="subscript"/>
        </w:rPr>
        <w:t>1</w:t>
      </w:r>
      <w:r>
        <w:rPr>
          <w:rFonts w:eastAsia="方正仿宋_GBK"/>
          <w:sz w:val="32"/>
          <w:szCs w:val="32"/>
        </w:rPr>
        <w:t>）</w:t>
      </w:r>
      <w:r>
        <w:rPr>
          <w:rFonts w:eastAsia="方正仿宋_GBK"/>
          <w:spacing w:val="8"/>
          <w:sz w:val="32"/>
          <w:szCs w:val="32"/>
        </w:rPr>
        <w:t>×</w:t>
      </w:r>
      <w:r>
        <w:rPr>
          <w:rFonts w:eastAsia="方正仿宋_GBK"/>
          <w:sz w:val="32"/>
          <w:szCs w:val="32"/>
        </w:rPr>
        <w:t>（</w:t>
      </w:r>
      <w:r>
        <w:rPr>
          <w:rFonts w:eastAsia="方正仿宋_GBK"/>
          <w:spacing w:val="8"/>
          <w:sz w:val="32"/>
          <w:szCs w:val="32"/>
        </w:rPr>
        <w:t>R-R</w:t>
      </w:r>
      <w:r>
        <w:rPr>
          <w:rFonts w:eastAsia="方正仿宋_GBK"/>
          <w:spacing w:val="8"/>
          <w:sz w:val="32"/>
          <w:szCs w:val="32"/>
          <w:vertAlign w:val="subscript"/>
        </w:rPr>
        <w:t>1</w:t>
      </w:r>
      <w:r>
        <w:rPr>
          <w:rFonts w:eastAsia="方正仿宋_GBK"/>
          <w:sz w:val="32"/>
          <w:szCs w:val="32"/>
        </w:rPr>
        <w:t>）</w:t>
      </w:r>
      <w:r>
        <w:rPr>
          <w:rFonts w:eastAsia="方正仿宋_GBK"/>
          <w:spacing w:val="8"/>
          <w:sz w:val="32"/>
          <w:szCs w:val="32"/>
        </w:rPr>
        <w:t>/</w:t>
      </w:r>
      <w:r>
        <w:rPr>
          <w:rFonts w:eastAsia="方正仿宋_GBK"/>
          <w:sz w:val="32"/>
          <w:szCs w:val="32"/>
        </w:rPr>
        <w:t>（</w:t>
      </w:r>
      <w:r>
        <w:rPr>
          <w:rFonts w:eastAsia="方正仿宋_GBK"/>
          <w:spacing w:val="8"/>
          <w:sz w:val="32"/>
          <w:szCs w:val="32"/>
        </w:rPr>
        <w:t>R</w:t>
      </w:r>
      <w:r>
        <w:rPr>
          <w:rFonts w:eastAsia="方正仿宋_GBK"/>
          <w:spacing w:val="8"/>
          <w:sz w:val="32"/>
          <w:szCs w:val="32"/>
          <w:vertAlign w:val="subscript"/>
        </w:rPr>
        <w:t>2</w:t>
      </w:r>
      <w:r>
        <w:rPr>
          <w:rFonts w:eastAsia="方正仿宋_GBK"/>
          <w:spacing w:val="8"/>
          <w:sz w:val="32"/>
          <w:szCs w:val="32"/>
        </w:rPr>
        <w:t>-R</w:t>
      </w:r>
      <w:r>
        <w:rPr>
          <w:rFonts w:eastAsia="方正仿宋_GBK"/>
          <w:spacing w:val="8"/>
          <w:sz w:val="32"/>
          <w:szCs w:val="32"/>
          <w:vertAlign w:val="subscript"/>
        </w:rPr>
        <w:t>1</w:t>
      </w:r>
      <w:r>
        <w:rPr>
          <w:rFonts w:eastAsia="方正仿宋_GBK"/>
          <w:sz w:val="32"/>
          <w:szCs w:val="32"/>
        </w:rPr>
        <w:t>）</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snapToGrid w:val="0"/>
        <w:spacing w:line="600" w:lineRule="exact"/>
        <w:ind w:left="0" w:leftChars="0" w:right="0" w:rightChars="0" w:firstLine="672" w:firstLineChars="200"/>
        <w:jc w:val="both"/>
        <w:textAlignment w:val="auto"/>
        <w:outlineLvl w:val="9"/>
        <w:rPr>
          <w:rFonts w:eastAsia="方正仿宋_GBK"/>
          <w:spacing w:val="8"/>
          <w:sz w:val="32"/>
          <w:szCs w:val="32"/>
        </w:rPr>
      </w:pPr>
      <w:r>
        <w:rPr>
          <w:rFonts w:eastAsia="方正仿宋_GBK"/>
          <w:spacing w:val="8"/>
          <w:sz w:val="32"/>
          <w:szCs w:val="32"/>
        </w:rPr>
        <w:t>X</w:t>
      </w:r>
      <w:r>
        <w:rPr>
          <w:rFonts w:eastAsia="方正仿宋_GBK"/>
          <w:spacing w:val="8"/>
          <w:sz w:val="32"/>
          <w:szCs w:val="32"/>
          <w:vertAlign w:val="subscript"/>
        </w:rPr>
        <w:t>1</w:t>
      </w:r>
      <w:r>
        <w:rPr>
          <w:rFonts w:eastAsia="方正仿宋_GBK"/>
          <w:spacing w:val="8"/>
          <w:sz w:val="32"/>
          <w:szCs w:val="32"/>
        </w:rPr>
        <w:t>、X</w:t>
      </w:r>
      <w:r>
        <w:rPr>
          <w:rFonts w:eastAsia="方正仿宋_GBK"/>
          <w:spacing w:val="8"/>
          <w:sz w:val="32"/>
          <w:szCs w:val="32"/>
          <w:vertAlign w:val="subscript"/>
        </w:rPr>
        <w:t>2</w:t>
      </w:r>
      <w:r>
        <w:rPr>
          <w:rFonts w:eastAsia="方正仿宋_GBK"/>
          <w:spacing w:val="8"/>
          <w:sz w:val="32"/>
          <w:szCs w:val="32"/>
        </w:rPr>
        <w:t>为R</w:t>
      </w:r>
      <w:r>
        <w:rPr>
          <w:rFonts w:eastAsia="方正仿宋_GBK"/>
          <w:spacing w:val="8"/>
          <w:sz w:val="32"/>
          <w:szCs w:val="32"/>
          <w:vertAlign w:val="subscript"/>
        </w:rPr>
        <w:t>1</w:t>
      </w:r>
      <w:r>
        <w:rPr>
          <w:rFonts w:eastAsia="方正仿宋_GBK"/>
          <w:spacing w:val="8"/>
          <w:sz w:val="32"/>
          <w:szCs w:val="32"/>
        </w:rPr>
        <w:t>、R</w:t>
      </w:r>
      <w:r>
        <w:rPr>
          <w:rFonts w:eastAsia="方正仿宋_GBK"/>
          <w:spacing w:val="8"/>
          <w:sz w:val="32"/>
          <w:szCs w:val="32"/>
          <w:vertAlign w:val="subscript"/>
        </w:rPr>
        <w:t>2</w:t>
      </w:r>
      <w:r>
        <w:rPr>
          <w:rFonts w:eastAsia="方正仿宋_GBK"/>
          <w:spacing w:val="8"/>
          <w:sz w:val="32"/>
          <w:szCs w:val="32"/>
        </w:rPr>
        <w:t>所对应的容积率修正系数。</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6.土地开发程度修正值的确定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当宗地的土地开发程度与基准地价设定的土地开发程度不一致时，应根据《土地开发程度修正值表》确定开发程度修正值。</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《土地开发程度修正值表》中的土地开发程度修正值为土地面积单价，应用中应按下列公式换算为建筑面积单价：</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宗地地上计容部分的土地开发程度修正值（建筑面积单价）=土地开发程度修正值（土地面积单价）÷宗地容积率</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宗地地下不计容部分的土地开发程度修正值（建筑面积单价）=土地开发程度修正值（土地面积单价）÷（宗地地下不计容建筑面积÷宗地土地面积）</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宗地同时具有地上计容部分和地下不计容部分的，评估时只计算宗地地上计容部分的土地开发程度修正值，地下不计容部分的土地开发程度不作修正。</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7.区域和个别因素修正系数的确定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eastAsia="方正仿宋_GBK"/>
          <w:sz w:val="32"/>
          <w:szCs w:val="32"/>
          <w:lang w:eastAsia="zh-CN"/>
        </w:rPr>
      </w:pPr>
      <w:r>
        <w:rPr>
          <w:rFonts w:eastAsia="方正仿宋_GBK"/>
          <w:sz w:val="32"/>
          <w:szCs w:val="32"/>
        </w:rPr>
        <w:t>区域和个别因素修正系数=1+</w:t>
      </w:r>
      <w:r>
        <w:rPr>
          <w:rFonts w:eastAsia="方正仿宋_GBK"/>
          <w:position w:val="-28"/>
          <w:sz w:val="32"/>
          <w:szCs w:val="32"/>
        </w:rPr>
        <w:object>
          <v:shape id="_x0000_i1025" o:spt="75" type="#_x0000_t75" style="height:38.3pt;width:38.3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6" r:id="rId16">
            <o:LockedField>false</o:LockedField>
          </o:OLEObject>
        </w:object>
      </w:r>
      <w:r>
        <w:rPr>
          <w:rFonts w:eastAsia="方正仿宋_GBK"/>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按照《区域和个别因素修正系数表》，根据宗地各种因素情况确定每种因素的修正系数，应用上述公式测算宗地的区域和个别因素修正系数。K</w:t>
      </w:r>
      <w:r>
        <w:rPr>
          <w:rFonts w:eastAsia="方正仿宋_GBK"/>
          <w:sz w:val="32"/>
          <w:szCs w:val="32"/>
          <w:vertAlign w:val="subscript"/>
        </w:rPr>
        <w:t>i</w:t>
      </w:r>
      <w:r>
        <w:rPr>
          <w:rFonts w:eastAsia="方正仿宋_GBK"/>
          <w:sz w:val="32"/>
          <w:szCs w:val="32"/>
        </w:rPr>
        <w:t>为第i种因素的修正系数。</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附表：4.1.1土地用途修正系数表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 xml:space="preserve">      4.1.2容积率修正系数表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 xml:space="preserve">      4.1.3地下空间修正系数表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eastAsia="方正仿宋_GBK"/>
          <w:sz w:val="32"/>
          <w:szCs w:val="32"/>
        </w:rPr>
      </w:pPr>
      <w:r>
        <w:rPr>
          <w:rFonts w:eastAsia="方正仿宋_GBK"/>
          <w:sz w:val="32"/>
          <w:szCs w:val="32"/>
        </w:rPr>
        <w:t xml:space="preserve">      4.1.4土地开发程度修正值表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1600" w:firstLineChars="500"/>
        <w:jc w:val="both"/>
        <w:textAlignment w:val="auto"/>
        <w:outlineLvl w:val="9"/>
        <w:rPr>
          <w:rFonts w:eastAsia="方正仿宋_GBK"/>
          <w:sz w:val="32"/>
          <w:szCs w:val="32"/>
        </w:rPr>
      </w:pPr>
      <w:r>
        <w:rPr>
          <w:rFonts w:eastAsia="方正仿宋_GBK"/>
          <w:sz w:val="32"/>
          <w:szCs w:val="32"/>
        </w:rPr>
        <w:t>4.1.5区域和个别因素修正系数表</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ascii="仿宋" w:hAnsi="仿宋" w:eastAsia="仿宋"/>
          <w:sz w:val="28"/>
          <w:szCs w:val="28"/>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32"/>
          <w:szCs w:val="32"/>
        </w:rPr>
        <w:t>附表4.1.1</w:t>
      </w:r>
    </w:p>
    <w:p>
      <w:pPr>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土地用途修正系数表</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ascii="方正小标宋_GBK" w:hAnsi="方正小标宋_GBK" w:eastAsia="方正小标宋_GBK" w:cs="方正小标宋_GBK"/>
          <w:sz w:val="36"/>
          <w:szCs w:val="36"/>
        </w:rPr>
      </w:pPr>
    </w:p>
    <w:tbl>
      <w:tblPr>
        <w:tblStyle w:val="11"/>
        <w:tblW w:w="865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94"/>
        <w:gridCol w:w="406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用途</w:t>
            </w:r>
          </w:p>
        </w:tc>
        <w:tc>
          <w:tcPr>
            <w:tcW w:w="1494"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用途类别划分</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范围</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1480"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商服用地</w:t>
            </w:r>
          </w:p>
        </w:tc>
        <w:tc>
          <w:tcPr>
            <w:tcW w:w="1494"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基准类别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零售商业用地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其他类别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公用设施营业网点用地</w:t>
            </w:r>
            <w:r>
              <w:rPr>
                <w:rFonts w:hint="eastAsia" w:eastAsia="方正仿宋_GBK" w:cs="Times New Roman"/>
                <w:color w:val="auto"/>
                <w:kern w:val="2"/>
                <w:sz w:val="21"/>
                <w:szCs w:val="21"/>
              </w:rPr>
              <w:t>（</w:t>
            </w:r>
            <w:r>
              <w:rPr>
                <w:rFonts w:eastAsia="方正仿宋_GBK" w:cs="Times New Roman"/>
                <w:color w:val="auto"/>
                <w:kern w:val="2"/>
                <w:sz w:val="21"/>
                <w:szCs w:val="21"/>
              </w:rPr>
              <w:t>加油加气站用地</w:t>
            </w:r>
            <w:r>
              <w:rPr>
                <w:rFonts w:hint="eastAsia" w:eastAsia="方正仿宋_GBK" w:cs="Times New Roman"/>
                <w:color w:val="auto"/>
                <w:kern w:val="2"/>
                <w:sz w:val="21"/>
                <w:szCs w:val="21"/>
              </w:rPr>
              <w:t>）</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批发市场用地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餐饮用地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旅馆用地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商务金融用地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娱乐用地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其他商服用地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殡葬用地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风景名胜用地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工矿仓储用地</w:t>
            </w:r>
          </w:p>
        </w:tc>
        <w:tc>
          <w:tcPr>
            <w:tcW w:w="1494"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基准类别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工业用地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其他类别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采矿用地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仓储用地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交通运输用地</w:t>
            </w:r>
            <w:r>
              <w:rPr>
                <w:rFonts w:hint="eastAsia" w:eastAsia="方正仿宋_GBK" w:cs="Times New Roman"/>
                <w:color w:val="auto"/>
                <w:kern w:val="2"/>
                <w:sz w:val="21"/>
                <w:szCs w:val="21"/>
              </w:rPr>
              <w:t>（</w:t>
            </w:r>
            <w:r>
              <w:rPr>
                <w:rFonts w:eastAsia="方正仿宋_GBK" w:cs="Times New Roman"/>
                <w:color w:val="auto"/>
                <w:kern w:val="2"/>
                <w:sz w:val="21"/>
                <w:szCs w:val="21"/>
              </w:rPr>
              <w:t>交通服务场站用地</w:t>
            </w:r>
            <w:r>
              <w:rPr>
                <w:rFonts w:hint="eastAsia" w:eastAsia="方正仿宋_GBK" w:cs="Times New Roman"/>
                <w:color w:val="auto"/>
                <w:kern w:val="2"/>
                <w:sz w:val="21"/>
                <w:szCs w:val="21"/>
              </w:rPr>
              <w:t>）</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交通运输用地</w:t>
            </w:r>
            <w:r>
              <w:rPr>
                <w:rFonts w:hint="eastAsia" w:eastAsia="方正仿宋_GBK" w:cs="Times New Roman"/>
                <w:color w:val="auto"/>
                <w:kern w:val="2"/>
                <w:sz w:val="21"/>
                <w:szCs w:val="21"/>
              </w:rPr>
              <w:t>（</w:t>
            </w:r>
            <w:r>
              <w:rPr>
                <w:rFonts w:eastAsia="方正仿宋_GBK" w:cs="Times New Roman"/>
                <w:color w:val="auto"/>
                <w:kern w:val="2"/>
                <w:sz w:val="21"/>
                <w:szCs w:val="21"/>
              </w:rPr>
              <w:t>除交通服务场站用地以外的交通运输用地</w:t>
            </w:r>
            <w:r>
              <w:rPr>
                <w:rFonts w:hint="eastAsia" w:eastAsia="方正仿宋_GBK" w:cs="Times New Roman"/>
                <w:color w:val="auto"/>
                <w:kern w:val="2"/>
                <w:sz w:val="21"/>
                <w:szCs w:val="21"/>
              </w:rPr>
              <w:t>）</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住宅用地</w:t>
            </w:r>
          </w:p>
        </w:tc>
        <w:tc>
          <w:tcPr>
            <w:tcW w:w="1494"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基准类别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城镇住宅用地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公共管理与公共服务用地</w:t>
            </w:r>
          </w:p>
        </w:tc>
        <w:tc>
          <w:tcPr>
            <w:tcW w:w="1494"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基准类别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教育用地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p>
        </w:tc>
        <w:tc>
          <w:tcPr>
            <w:tcW w:w="1494" w:type="dxa"/>
            <w:vMerge w:val="restart"/>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其他类别</w:t>
            </w: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机关团体用地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新闻出版用地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科研用地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医疗卫生用地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社会福利用地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文化设施用地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体育用地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公用设施用地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80"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1494" w:type="dxa"/>
            <w:vMerge w:val="continue"/>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ascii="仿宋" w:hAnsi="仿宋"/>
                <w:color w:val="auto"/>
                <w:kern w:val="2"/>
                <w:sz w:val="21"/>
                <w:szCs w:val="21"/>
              </w:rPr>
            </w:pPr>
          </w:p>
        </w:tc>
        <w:tc>
          <w:tcPr>
            <w:tcW w:w="4061"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公园与绿地</w:t>
            </w:r>
          </w:p>
        </w:tc>
        <w:tc>
          <w:tcPr>
            <w:tcW w:w="1620" w:type="dxa"/>
            <w:vAlign w:val="center"/>
          </w:tcPr>
          <w:p>
            <w:pPr>
              <w:pStyle w:val="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8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r>
    </w:tbl>
    <w:p>
      <w:pPr>
        <w:keepNext w:val="0"/>
        <w:keepLines w:val="0"/>
        <w:pageBreakBefore w:val="0"/>
        <w:kinsoku/>
        <w:wordWrap/>
        <w:overflowPunct/>
        <w:topLinePunct w:val="0"/>
        <w:autoSpaceDE/>
        <w:autoSpaceDN/>
        <w:bidi w:val="0"/>
        <w:adjustRightInd w:val="0"/>
        <w:snapToGrid w:val="0"/>
        <w:spacing w:line="280" w:lineRule="exact"/>
        <w:ind w:firstLine="440" w:firstLineChars="200"/>
        <w:textAlignment w:val="auto"/>
        <w:rPr>
          <w:rFonts w:ascii="方正仿宋_GBK" w:hAnsi="方正仿宋_GBK" w:eastAsia="方正仿宋_GBK" w:cs="方正仿宋_GBK"/>
          <w:sz w:val="22"/>
        </w:rPr>
      </w:pPr>
      <w:r>
        <w:rPr>
          <w:rFonts w:hint="eastAsia" w:ascii="方正仿宋_GBK" w:hAnsi="方正仿宋_GBK" w:eastAsia="方正仿宋_GBK" w:cs="方正仿宋_GBK"/>
          <w:sz w:val="22"/>
        </w:rPr>
        <w:t>备注：表中未注明具体内涵的用途按照本说明中土地用途分类的内涵界定。</w:t>
      </w: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附表4.1.2</w:t>
      </w: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容积率修正系数表</w:t>
      </w: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36"/>
          <w:szCs w:val="36"/>
        </w:rPr>
      </w:pPr>
    </w:p>
    <w:tbl>
      <w:tblPr>
        <w:tblStyle w:val="11"/>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215"/>
        <w:gridCol w:w="2214"/>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容积率</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住宅</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公共管理与公共服务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1.96</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1.82</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1.68</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1.45</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1.36</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2.5</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0.96</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0.96</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0.92</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3.5</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0.91</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0.89</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0.87</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0.87</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4.5</w:t>
            </w:r>
          </w:p>
        </w:tc>
        <w:tc>
          <w:tcPr>
            <w:tcW w:w="221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0.83</w:t>
            </w:r>
          </w:p>
        </w:tc>
        <w:tc>
          <w:tcPr>
            <w:tcW w:w="221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w:t>
            </w:r>
          </w:p>
        </w:tc>
        <w:tc>
          <w:tcPr>
            <w:tcW w:w="26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w:t>
            </w:r>
          </w:p>
        </w:tc>
      </w:tr>
    </w:tbl>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附表4.1.3</w:t>
      </w:r>
    </w:p>
    <w:p>
      <w:pPr>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地下空间修正系数表</w:t>
      </w: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36"/>
          <w:szCs w:val="36"/>
        </w:rPr>
      </w:pPr>
    </w:p>
    <w:tbl>
      <w:tblPr>
        <w:tblStyle w:val="11"/>
        <w:tblW w:w="8805"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2338"/>
        <w:gridCol w:w="2052"/>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地下空间用途</w:t>
            </w:r>
          </w:p>
        </w:tc>
        <w:tc>
          <w:tcPr>
            <w:tcW w:w="233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适用的基准地价</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楼层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地下空间修正系数表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商业</w:t>
            </w:r>
          </w:p>
        </w:tc>
        <w:tc>
          <w:tcPr>
            <w:tcW w:w="233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商服用途基准类别</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地下第一层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p>
        </w:tc>
        <w:tc>
          <w:tcPr>
            <w:tcW w:w="23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地下第二层及以下</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住宅</w:t>
            </w:r>
          </w:p>
        </w:tc>
        <w:tc>
          <w:tcPr>
            <w:tcW w:w="233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住宅用途基准类别</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地下各层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公共管理与公共服务</w:t>
            </w:r>
          </w:p>
        </w:tc>
        <w:tc>
          <w:tcPr>
            <w:tcW w:w="233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公共管理与公共服务基准类别</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地下各层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工矿仓储</w:t>
            </w:r>
          </w:p>
        </w:tc>
        <w:tc>
          <w:tcPr>
            <w:tcW w:w="233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工矿仓储用途基准类别</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地下各层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车库</w:t>
            </w:r>
          </w:p>
        </w:tc>
        <w:tc>
          <w:tcPr>
            <w:tcW w:w="233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商服用途基准类别</w:t>
            </w:r>
          </w:p>
        </w:tc>
        <w:tc>
          <w:tcPr>
            <w:tcW w:w="20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地下各层</w:t>
            </w:r>
          </w:p>
        </w:tc>
        <w:tc>
          <w:tcPr>
            <w:tcW w:w="22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0.20</w:t>
            </w:r>
          </w:p>
        </w:tc>
      </w:tr>
    </w:tbl>
    <w:p>
      <w:pPr>
        <w:pageBreakBefore w:val="0"/>
        <w:kinsoku/>
        <w:wordWrap/>
        <w:overflowPunct/>
        <w:topLinePunct w:val="0"/>
        <w:autoSpaceDE/>
        <w:autoSpaceDN/>
        <w:bidi w:val="0"/>
        <w:adjustRightInd w:val="0"/>
        <w:snapToGrid w:val="0"/>
        <w:spacing w:line="600" w:lineRule="exact"/>
        <w:ind w:firstLine="480"/>
        <w:textAlignment w:val="auto"/>
        <w:rPr>
          <w:rFonts w:ascii="方正仿宋_GBK" w:hAnsi="方正仿宋_GBK" w:eastAsia="方正仿宋_GBK" w:cs="方正仿宋_GBK"/>
          <w:sz w:val="24"/>
        </w:rPr>
      </w:pPr>
      <w:r>
        <w:rPr>
          <w:rFonts w:hint="eastAsia" w:ascii="方正仿宋_GBK" w:hAnsi="方正仿宋_GBK" w:eastAsia="方正仿宋_GBK" w:cs="方正仿宋_GBK"/>
          <w:sz w:val="24"/>
        </w:rPr>
        <w:t>备注：地下空间指地下不计容建筑面积。</w:t>
      </w: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附表4.1.4</w:t>
      </w:r>
    </w:p>
    <w:p>
      <w:pPr>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土地开发程度修正值表</w:t>
      </w: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36"/>
          <w:szCs w:val="36"/>
        </w:rPr>
      </w:pPr>
    </w:p>
    <w:p>
      <w:pPr>
        <w:pageBreakBefore w:val="0"/>
        <w:kinsoku/>
        <w:wordWrap/>
        <w:overflowPunct/>
        <w:topLinePunct w:val="0"/>
        <w:autoSpaceDE/>
        <w:autoSpaceDN/>
        <w:bidi w:val="0"/>
        <w:adjustRightInd w:val="0"/>
        <w:snapToGrid w:val="0"/>
        <w:spacing w:line="600" w:lineRule="exact"/>
        <w:ind w:firstLine="480"/>
        <w:jc w:val="right"/>
        <w:textAlignment w:val="auto"/>
        <w:rPr>
          <w:rFonts w:ascii="方正楷体_GBK" w:hAnsi="方正楷体_GBK" w:eastAsia="方正楷体_GBK" w:cs="方正楷体_GBK"/>
          <w:sz w:val="24"/>
        </w:rPr>
      </w:pPr>
      <w:r>
        <w:rPr>
          <w:rFonts w:hint="eastAsia" w:ascii="方正楷体_GBK" w:hAnsi="方正楷体_GBK" w:eastAsia="方正楷体_GBK" w:cs="方正楷体_GBK"/>
          <w:sz w:val="24"/>
        </w:rPr>
        <w:t>单位：元/平方米（土地面积）</w:t>
      </w:r>
    </w:p>
    <w:tbl>
      <w:tblPr>
        <w:tblStyle w:val="11"/>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704"/>
        <w:gridCol w:w="924"/>
        <w:gridCol w:w="924"/>
        <w:gridCol w:w="924"/>
        <w:gridCol w:w="924"/>
        <w:gridCol w:w="924"/>
        <w:gridCol w:w="1546"/>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5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开发程度</w:t>
            </w:r>
          </w:p>
        </w:tc>
        <w:tc>
          <w:tcPr>
            <w:tcW w:w="70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通路</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通上水</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通下水</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通电</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hint="eastAsia" w:ascii="方正黑体_GBK" w:hAnsi="方正黑体_GBK" w:eastAsia="方正黑体_GBK" w:cs="方正黑体_GBK"/>
                <w:color w:val="auto"/>
                <w:kern w:val="2"/>
                <w:sz w:val="21"/>
                <w:szCs w:val="21"/>
                <w:u w:color="000000"/>
                <w:lang w:val="en-US" w:eastAsia="zh-CN"/>
              </w:rPr>
            </w:pPr>
            <w:r>
              <w:rPr>
                <w:rFonts w:hint="eastAsia" w:ascii="方正黑体_GBK" w:hAnsi="方正黑体_GBK" w:eastAsia="方正黑体_GBK" w:cs="方正黑体_GBK"/>
                <w:color w:val="auto"/>
                <w:kern w:val="2"/>
                <w:sz w:val="21"/>
                <w:szCs w:val="21"/>
                <w:u w:color="000000"/>
              </w:rPr>
              <w:t>通</w:t>
            </w:r>
            <w:r>
              <w:rPr>
                <w:rFonts w:hint="eastAsia" w:ascii="方正黑体_GBK" w:hAnsi="方正黑体_GBK" w:eastAsia="方正黑体_GBK" w:cs="方正黑体_GBK"/>
                <w:color w:val="auto"/>
                <w:kern w:val="2"/>
                <w:sz w:val="21"/>
                <w:szCs w:val="21"/>
                <w:u w:color="000000"/>
                <w:lang w:val="en-US" w:eastAsia="zh-CN"/>
              </w:rPr>
              <w:t>讯</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通燃气</w:t>
            </w:r>
          </w:p>
        </w:tc>
        <w:tc>
          <w:tcPr>
            <w:tcW w:w="154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场地平整</w:t>
            </w:r>
          </w:p>
        </w:tc>
        <w:tc>
          <w:tcPr>
            <w:tcW w:w="8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u w:color="000000"/>
              </w:rPr>
            </w:pPr>
            <w:r>
              <w:rPr>
                <w:rFonts w:hint="eastAsia" w:ascii="方正黑体_GBK" w:hAnsi="方正黑体_GBK" w:eastAsia="方正黑体_GBK" w:cs="方正黑体_GBK"/>
                <w:color w:val="auto"/>
                <w:kern w:val="2"/>
                <w:sz w:val="21"/>
                <w:szCs w:val="21"/>
                <w:u w:color="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5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u w:color="000000"/>
              </w:rPr>
              <w:t>开发费用</w:t>
            </w:r>
          </w:p>
        </w:tc>
        <w:tc>
          <w:tcPr>
            <w:tcW w:w="70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20</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10</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15</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15</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10</w:t>
            </w:r>
          </w:p>
        </w:tc>
        <w:tc>
          <w:tcPr>
            <w:tcW w:w="9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20</w:t>
            </w:r>
          </w:p>
        </w:tc>
        <w:tc>
          <w:tcPr>
            <w:tcW w:w="154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25</w:t>
            </w:r>
          </w:p>
        </w:tc>
        <w:tc>
          <w:tcPr>
            <w:tcW w:w="8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u w:color="000000"/>
              </w:rPr>
            </w:pPr>
            <w:r>
              <w:rPr>
                <w:rFonts w:eastAsia="方正仿宋_GBK" w:cs="Times New Roman"/>
                <w:color w:val="auto"/>
                <w:kern w:val="2"/>
                <w:sz w:val="21"/>
                <w:szCs w:val="21"/>
              </w:rPr>
              <w:t>115</w:t>
            </w:r>
          </w:p>
        </w:tc>
      </w:tr>
    </w:tbl>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ageBreakBefore w:val="0"/>
        <w:kinsoku/>
        <w:wordWrap/>
        <w:overflowPunct/>
        <w:topLinePunct w:val="0"/>
        <w:autoSpaceDE/>
        <w:autoSpaceDN/>
        <w:bidi w:val="0"/>
        <w:spacing w:line="600" w:lineRule="exact"/>
        <w:ind w:firstLine="600"/>
        <w:textAlignment w:val="auto"/>
        <w:rPr>
          <w:rFonts w:ascii="仿宋" w:hAnsi="仿宋" w:eastAsia="仿宋"/>
          <w:sz w:val="30"/>
          <w:szCs w:val="30"/>
        </w:rPr>
      </w:pPr>
    </w:p>
    <w:p>
      <w:pPr>
        <w:pStyle w:val="2"/>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rightChars="0"/>
        <w:jc w:val="both"/>
        <w:textAlignment w:val="auto"/>
      </w:pPr>
    </w:p>
    <w:p>
      <w:pPr>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附表4.1.5</w:t>
      </w:r>
    </w:p>
    <w:p>
      <w:pPr>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方正小标宋_GBK" w:hAnsi="方正小标宋_GBK" w:eastAsia="方正小标宋_GBK" w:cs="方正小标宋_GBK"/>
          <w:sz w:val="44"/>
          <w:szCs w:val="44"/>
        </w:rPr>
      </w:pPr>
      <w:bookmarkStart w:id="4" w:name="_Toc9331202"/>
      <w:bookmarkStart w:id="5" w:name="_Toc12368128"/>
      <w:bookmarkStart w:id="6" w:name="_Toc9272789"/>
      <w:bookmarkStart w:id="7" w:name="_Toc12302230"/>
      <w:r>
        <w:rPr>
          <w:rFonts w:hint="eastAsia" w:ascii="方正小标宋_GBK" w:hAnsi="方正小标宋_GBK" w:eastAsia="方正小标宋_GBK" w:cs="方正小标宋_GBK"/>
          <w:sz w:val="44"/>
          <w:szCs w:val="44"/>
        </w:rPr>
        <w:t>区域和个别因素修正系数表</w:t>
      </w:r>
      <w:bookmarkEnd w:id="4"/>
      <w:bookmarkEnd w:id="5"/>
      <w:bookmarkEnd w:id="6"/>
      <w:bookmarkEnd w:id="7"/>
    </w:p>
    <w:p>
      <w:pPr>
        <w:pStyle w:val="32"/>
        <w:pageBreakBefore w:val="0"/>
        <w:kinsoku/>
        <w:wordWrap/>
        <w:overflowPunct/>
        <w:topLinePunct w:val="0"/>
        <w:autoSpaceDE/>
        <w:autoSpaceDN/>
        <w:bidi w:val="0"/>
        <w:spacing w:line="600" w:lineRule="exact"/>
        <w:textAlignment w:val="auto"/>
        <w:rPr>
          <w:rFonts w:ascii="仿宋" w:hAnsi="仿宋" w:eastAsia="仿宋"/>
          <w:sz w:val="24"/>
          <w:szCs w:val="24"/>
        </w:rPr>
      </w:pPr>
      <w:bookmarkStart w:id="8" w:name="_Toc12368129"/>
      <w:bookmarkStart w:id="9" w:name="_Toc9331203"/>
      <w:bookmarkStart w:id="10" w:name="_Toc9272790"/>
      <w:bookmarkStart w:id="11" w:name="_Toc12302231"/>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4.1.5.1南川区商服用地基准地价修正因素指标说明表</w:t>
      </w:r>
      <w:bookmarkEnd w:id="8"/>
      <w:bookmarkEnd w:id="9"/>
      <w:bookmarkEnd w:id="10"/>
      <w:bookmarkEnd w:id="11"/>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p>
    <w:tbl>
      <w:tblPr>
        <w:tblStyle w:val="11"/>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78"/>
        <w:gridCol w:w="1376"/>
        <w:gridCol w:w="1110"/>
        <w:gridCol w:w="1080"/>
        <w:gridCol w:w="1124"/>
        <w:gridCol w:w="129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133"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因素</w:t>
            </w:r>
          </w:p>
        </w:tc>
        <w:tc>
          <w:tcPr>
            <w:tcW w:w="87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繁华度</w:t>
            </w: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距商服中心距离</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＜200米</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200-500米</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1000-1500米</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商服网点</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密度</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密集</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较密集</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较不密集</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不密集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交通</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条件</w:t>
            </w: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有生活型主干道通过</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有混合型主干道通过</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有生活型次干道通过</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交通型道路通过</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支路通过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公交线路数(半径200m范围内)</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5条以上公交线路通过</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3-4条公交线路</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2条公交线路</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1条公交线路</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无公交线路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距长途汽车站距离</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1000-2000米</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2000-3500米</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距高速公路出口距离</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1000-2000米</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2000-3500米</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设施</w:t>
            </w: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供水保证度（%）</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＞98</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供电保证度（%）</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＞98</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87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3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通讯保证度（%）</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＞98</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人口状况（客流量）</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较高</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较低</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有利</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较有利</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无影响</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较不利</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因素</w:t>
            </w: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＜200米</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200-300米</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300-400米</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400-500米</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临街道路类型</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步行街</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主干道</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次干道</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支路</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小区道路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宗地临街状况</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三面临街</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两面临街</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一面临街</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袋地</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袋地（严重影响利用）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宗地宽深比</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＞1.6</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1.2-1.6</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0.8-1.2</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0.5-0.8</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7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5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宗地形状</w:t>
            </w:r>
          </w:p>
        </w:tc>
        <w:tc>
          <w:tcPr>
            <w:tcW w:w="111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规则</w:t>
            </w:r>
          </w:p>
        </w:tc>
        <w:tc>
          <w:tcPr>
            <w:tcW w:w="10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较规则</w:t>
            </w:r>
          </w:p>
        </w:tc>
        <w:tc>
          <w:tcPr>
            <w:tcW w:w="112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较不规则</w:t>
            </w:r>
          </w:p>
        </w:tc>
        <w:tc>
          <w:tcPr>
            <w:tcW w:w="11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不规则</w:t>
            </w:r>
          </w:p>
        </w:tc>
      </w:tr>
    </w:tbl>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bookmarkStart w:id="12" w:name="_Toc12368130"/>
      <w:bookmarkStart w:id="13" w:name="_Toc9272791"/>
      <w:bookmarkStart w:id="14" w:name="_Toc12302232"/>
      <w:bookmarkStart w:id="15" w:name="_Toc9331204"/>
    </w:p>
    <w:p>
      <w:pPr>
        <w:pStyle w:val="32"/>
        <w:pageBreakBefore w:val="0"/>
        <w:kinsoku/>
        <w:wordWrap/>
        <w:overflowPunct/>
        <w:topLinePunct w:val="0"/>
        <w:autoSpaceDE/>
        <w:autoSpaceDN/>
        <w:bidi w:val="0"/>
        <w:spacing w:line="600" w:lineRule="exact"/>
        <w:jc w:val="both"/>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4.1.5.2南川区商服用地基准地价修正系数表</w:t>
      </w:r>
      <w:bookmarkEnd w:id="12"/>
      <w:bookmarkEnd w:id="13"/>
      <w:bookmarkEnd w:id="14"/>
      <w:bookmarkEnd w:id="15"/>
    </w:p>
    <w:tbl>
      <w:tblPr>
        <w:tblStyle w:val="11"/>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25"/>
        <w:gridCol w:w="2176"/>
        <w:gridCol w:w="975"/>
        <w:gridCol w:w="878"/>
        <w:gridCol w:w="1019"/>
        <w:gridCol w:w="101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2"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1125"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繁华度</w:t>
            </w: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距商服中心距离</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商服网点密度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交通条件</w:t>
            </w: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公交线路数</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距长途汽车站距离</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距高速公路出口距离</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供水保证度（%）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供电保证度（%）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1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通讯保证度（%）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人口状况（客流量）</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临街道路类型</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宗地临街状况</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宗地宽深比</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30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宗地整形度</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-0.5</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2"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调整幅度合计</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22</w:t>
            </w:r>
          </w:p>
        </w:tc>
        <w:tc>
          <w:tcPr>
            <w:tcW w:w="878"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12</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0</w:t>
            </w:r>
          </w:p>
        </w:tc>
        <w:tc>
          <w:tcPr>
            <w:tcW w:w="10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-12</w:t>
            </w:r>
          </w:p>
        </w:tc>
        <w:tc>
          <w:tcPr>
            <w:tcW w:w="1017"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kern w:val="2"/>
                <w:sz w:val="21"/>
                <w:szCs w:val="21"/>
              </w:rPr>
              <w:t>-22</w:t>
            </w:r>
          </w:p>
        </w:tc>
      </w:tr>
    </w:tbl>
    <w:p>
      <w:pPr>
        <w:pageBreakBefore w:val="0"/>
        <w:kinsoku/>
        <w:wordWrap/>
        <w:overflowPunct/>
        <w:topLinePunct w:val="0"/>
        <w:autoSpaceDE/>
        <w:autoSpaceDN/>
        <w:bidi w:val="0"/>
        <w:adjustRightInd w:val="0"/>
        <w:snapToGrid w:val="0"/>
        <w:spacing w:line="600" w:lineRule="exact"/>
        <w:jc w:val="both"/>
        <w:textAlignment w:val="auto"/>
        <w:rPr>
          <w:rFonts w:ascii="仿宋" w:hAnsi="仿宋" w:eastAsia="仿宋"/>
          <w:szCs w:val="28"/>
        </w:rPr>
      </w:pPr>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bookmarkStart w:id="16" w:name="_Toc12368133"/>
      <w:bookmarkStart w:id="17" w:name="_Toc9272794"/>
      <w:bookmarkStart w:id="18" w:name="_Toc9331207"/>
      <w:bookmarkStart w:id="19" w:name="_Toc12302235"/>
      <w:r>
        <w:rPr>
          <w:rFonts w:hint="eastAsia" w:ascii="方正黑体_GBK" w:hAnsi="方正黑体_GBK" w:eastAsia="方正黑体_GBK" w:cs="方正黑体_GBK"/>
          <w:sz w:val="28"/>
          <w:szCs w:val="28"/>
        </w:rPr>
        <w:t>4.1.5.3南川区住宅用地基准地价修正因素指标说明表</w:t>
      </w:r>
      <w:bookmarkEnd w:id="16"/>
      <w:bookmarkEnd w:id="17"/>
      <w:bookmarkEnd w:id="18"/>
      <w:bookmarkEnd w:id="19"/>
    </w:p>
    <w:tbl>
      <w:tblPr>
        <w:tblStyle w:val="11"/>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95"/>
        <w:gridCol w:w="1619"/>
        <w:gridCol w:w="1250"/>
        <w:gridCol w:w="1250"/>
        <w:gridCol w:w="1250"/>
        <w:gridCol w:w="125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0"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595"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繁华程度</w:t>
            </w: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400-800米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800-1500米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1500-2000米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有生活型主干道通过</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有混合型主干道通过</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有生活型次干道通过</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交通型道路通过</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支路通过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公交线路数(半径200m范围内)</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5条以上公交线路通过</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3-4条公交线路</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2条公交线路</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1条公交线路</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无公交线路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完善度</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供水、供电、供气设施齐备，保障度高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供水、供电、供气设施齐备，保障度较高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供水、供电、供气设施基本齐备，有一定保障</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供水、供电、供气设施不齐备，保障度较低</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供水、供电、供气设施不齐备，保障度低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公用设施</w:t>
            </w: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学校、医院等公用服务设施完备度</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各类公用服务设施齐全，能很好满足居民生活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公用服务设施较齐全，能较好满足居民生活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公用服务设施基本齐全，基本能满足居民生活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公用服务设施不够齐全, 对居民生活有一定影响</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仅零星设施分布有少量公用服务设施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w:t>
            </w: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人口密度</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较高</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较低</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5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161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低密度高档住宅区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教学、科研、机关宿舍区及住宅小区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普通住宅区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工矿区配套住宅</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尚未开发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221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200-300米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300-400米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400-500米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1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景观资源距离</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300-500米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1000-2000米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1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噪声、大气污染</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轻微污染</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较重污染</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1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5-10</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10-15</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15-25</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14"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地质灾害</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不易发区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低易发区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中易发区</w:t>
            </w:r>
          </w:p>
        </w:tc>
        <w:tc>
          <w:tcPr>
            <w:tcW w:w="12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高易发区</w:t>
            </w:r>
          </w:p>
        </w:tc>
      </w:tr>
    </w:tbl>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Style w:val="2"/>
        <w:rPr>
          <w:rFonts w:ascii="仿宋" w:hAnsi="仿宋" w:eastAsia="仿宋"/>
          <w:szCs w:val="28"/>
        </w:rPr>
      </w:pPr>
    </w:p>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bookmarkStart w:id="20" w:name="_Toc12368134"/>
      <w:bookmarkStart w:id="21" w:name="_Toc9272795"/>
      <w:bookmarkStart w:id="22" w:name="_Toc12302236"/>
      <w:bookmarkStart w:id="23" w:name="_Toc9331208"/>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4.1.5.4南川区住宅用地基准地价修正系数表</w:t>
      </w:r>
      <w:bookmarkEnd w:id="20"/>
      <w:bookmarkEnd w:id="21"/>
      <w:bookmarkEnd w:id="22"/>
      <w:bookmarkEnd w:id="23"/>
    </w:p>
    <w:tbl>
      <w:tblPr>
        <w:tblStyle w:val="1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059"/>
        <w:gridCol w:w="2580"/>
        <w:gridCol w:w="960"/>
        <w:gridCol w:w="990"/>
        <w:gridCol w:w="891"/>
        <w:gridCol w:w="99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7"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1059"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繁华程度</w:t>
            </w: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距商服中心距离</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公交便捷度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基础设施完善度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公用设施</w:t>
            </w: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学校、医院等公用服务</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设施完备度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w:t>
            </w: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人口密度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5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258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3639"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639"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景观资源距离</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639"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噪声、大气污染</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639"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639"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地质灾害</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7"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调整幅度合计</w:t>
            </w:r>
          </w:p>
        </w:tc>
        <w:tc>
          <w:tcPr>
            <w:tcW w:w="96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fldChar w:fldCharType="begin"/>
            </w:r>
            <w:r>
              <w:rPr>
                <w:rFonts w:cs="Times New Roman"/>
                <w:color w:val="auto"/>
                <w:kern w:val="2"/>
                <w:sz w:val="21"/>
                <w:szCs w:val="21"/>
              </w:rPr>
              <w:instrText xml:space="preserve"> =SUM(ABOVE) </w:instrText>
            </w:r>
            <w:r>
              <w:rPr>
                <w:rFonts w:cs="Times New Roman"/>
                <w:color w:val="auto"/>
                <w:kern w:val="2"/>
                <w:sz w:val="21"/>
                <w:szCs w:val="21"/>
              </w:rPr>
              <w:fldChar w:fldCharType="separate"/>
            </w:r>
            <w:r>
              <w:rPr>
                <w:rFonts w:cs="Times New Roman"/>
                <w:color w:val="auto"/>
                <w:kern w:val="2"/>
                <w:sz w:val="21"/>
                <w:szCs w:val="21"/>
              </w:rPr>
              <w:t>21</w:t>
            </w:r>
            <w:r>
              <w:rPr>
                <w:rFonts w:cs="Times New Roman"/>
                <w:color w:val="auto"/>
                <w:kern w:val="2"/>
                <w:sz w:val="21"/>
                <w:szCs w:val="21"/>
              </w:rPr>
              <w:fldChar w:fldCharType="end"/>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fldChar w:fldCharType="begin"/>
            </w:r>
            <w:r>
              <w:rPr>
                <w:rFonts w:cs="Times New Roman"/>
                <w:color w:val="auto"/>
                <w:kern w:val="2"/>
                <w:sz w:val="21"/>
                <w:szCs w:val="21"/>
              </w:rPr>
              <w:instrText xml:space="preserve"> =SUM(ABOVE) </w:instrText>
            </w:r>
            <w:r>
              <w:rPr>
                <w:rFonts w:cs="Times New Roman"/>
                <w:color w:val="auto"/>
                <w:kern w:val="2"/>
                <w:sz w:val="21"/>
                <w:szCs w:val="21"/>
              </w:rPr>
              <w:fldChar w:fldCharType="separate"/>
            </w:r>
            <w:r>
              <w:rPr>
                <w:rFonts w:cs="Times New Roman"/>
                <w:color w:val="auto"/>
                <w:kern w:val="2"/>
                <w:sz w:val="21"/>
                <w:szCs w:val="21"/>
              </w:rPr>
              <w:t>10.5</w:t>
            </w:r>
            <w:r>
              <w:rPr>
                <w:rFonts w:cs="Times New Roman"/>
                <w:color w:val="auto"/>
                <w:kern w:val="2"/>
                <w:sz w:val="21"/>
                <w:szCs w:val="21"/>
              </w:rPr>
              <w:fldChar w:fldCharType="end"/>
            </w:r>
          </w:p>
        </w:tc>
        <w:tc>
          <w:tcPr>
            <w:tcW w:w="8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fldChar w:fldCharType="begin"/>
            </w:r>
            <w:r>
              <w:rPr>
                <w:rFonts w:cs="Times New Roman"/>
                <w:color w:val="auto"/>
                <w:kern w:val="2"/>
                <w:sz w:val="21"/>
                <w:szCs w:val="21"/>
              </w:rPr>
              <w:instrText xml:space="preserve">=SUM(ABOVE)</w:instrText>
            </w:r>
            <w:r>
              <w:rPr>
                <w:rFonts w:cs="Times New Roman"/>
                <w:color w:val="auto"/>
                <w:kern w:val="2"/>
                <w:sz w:val="21"/>
                <w:szCs w:val="21"/>
              </w:rPr>
              <w:fldChar w:fldCharType="separate"/>
            </w:r>
            <w:r>
              <w:rPr>
                <w:rFonts w:cs="Times New Roman"/>
                <w:color w:val="auto"/>
                <w:kern w:val="2"/>
                <w:sz w:val="21"/>
                <w:szCs w:val="21"/>
              </w:rPr>
              <w:t>0.0</w:t>
            </w:r>
            <w:r>
              <w:rPr>
                <w:rFonts w:cs="Times New Roman"/>
                <w:color w:val="auto"/>
                <w:kern w:val="2"/>
                <w:sz w:val="21"/>
                <w:szCs w:val="21"/>
              </w:rPr>
              <w:fldChar w:fldCharType="end"/>
            </w:r>
          </w:p>
        </w:tc>
        <w:tc>
          <w:tcPr>
            <w:tcW w:w="99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fldChar w:fldCharType="begin"/>
            </w:r>
            <w:r>
              <w:rPr>
                <w:rFonts w:cs="Times New Roman"/>
                <w:color w:val="auto"/>
                <w:kern w:val="2"/>
                <w:sz w:val="21"/>
                <w:szCs w:val="21"/>
              </w:rPr>
              <w:instrText xml:space="preserve"> =SUM(ABOVE) </w:instrText>
            </w:r>
            <w:r>
              <w:rPr>
                <w:rFonts w:cs="Times New Roman"/>
                <w:color w:val="auto"/>
                <w:kern w:val="2"/>
                <w:sz w:val="21"/>
                <w:szCs w:val="21"/>
              </w:rPr>
              <w:fldChar w:fldCharType="separate"/>
            </w:r>
            <w:r>
              <w:rPr>
                <w:rFonts w:cs="Times New Roman"/>
                <w:color w:val="auto"/>
                <w:kern w:val="2"/>
                <w:sz w:val="21"/>
                <w:szCs w:val="21"/>
              </w:rPr>
              <w:t>-10.5</w:t>
            </w:r>
            <w:r>
              <w:rPr>
                <w:rFonts w:cs="Times New Roman"/>
                <w:color w:val="auto"/>
                <w:kern w:val="2"/>
                <w:sz w:val="21"/>
                <w:szCs w:val="21"/>
              </w:rPr>
              <w:fldChar w:fldCharType="end"/>
            </w:r>
          </w:p>
        </w:tc>
        <w:tc>
          <w:tcPr>
            <w:tcW w:w="99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fldChar w:fldCharType="begin"/>
            </w:r>
            <w:r>
              <w:rPr>
                <w:rFonts w:cs="Times New Roman"/>
                <w:color w:val="auto"/>
                <w:kern w:val="2"/>
                <w:sz w:val="21"/>
                <w:szCs w:val="21"/>
              </w:rPr>
              <w:instrText xml:space="preserve"> =SUM(ABOVE) </w:instrText>
            </w:r>
            <w:r>
              <w:rPr>
                <w:rFonts w:cs="Times New Roman"/>
                <w:color w:val="auto"/>
                <w:kern w:val="2"/>
                <w:sz w:val="21"/>
                <w:szCs w:val="21"/>
              </w:rPr>
              <w:fldChar w:fldCharType="separate"/>
            </w:r>
            <w:r>
              <w:rPr>
                <w:rFonts w:cs="Times New Roman"/>
                <w:color w:val="auto"/>
                <w:kern w:val="2"/>
                <w:sz w:val="21"/>
                <w:szCs w:val="21"/>
              </w:rPr>
              <w:t>-21</w:t>
            </w:r>
            <w:r>
              <w:rPr>
                <w:rFonts w:cs="Times New Roman"/>
                <w:color w:val="auto"/>
                <w:kern w:val="2"/>
                <w:sz w:val="21"/>
                <w:szCs w:val="21"/>
              </w:rPr>
              <w:fldChar w:fldCharType="end"/>
            </w:r>
          </w:p>
        </w:tc>
      </w:tr>
    </w:tbl>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bookmarkStart w:id="24" w:name="_Toc12368135"/>
      <w:bookmarkStart w:id="25" w:name="_Toc12302237"/>
      <w:bookmarkStart w:id="26" w:name="_Toc9331209"/>
      <w:bookmarkStart w:id="27" w:name="_Toc9272796"/>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4.1.5.5南川区工矿仓储用地基准地价修正因素指标说明表</w:t>
      </w:r>
      <w:bookmarkEnd w:id="24"/>
      <w:bookmarkEnd w:id="25"/>
      <w:bookmarkEnd w:id="26"/>
      <w:bookmarkEnd w:id="27"/>
    </w:p>
    <w:tbl>
      <w:tblPr>
        <w:tblStyle w:val="11"/>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3"/>
        <w:gridCol w:w="1151"/>
        <w:gridCol w:w="1070"/>
        <w:gridCol w:w="999"/>
        <w:gridCol w:w="1133"/>
        <w:gridCol w:w="1268"/>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794" w:type="dxa"/>
            <w:gridSpan w:val="3"/>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restart"/>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1151" w:type="dxa"/>
            <w:vMerge w:val="restart"/>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交通条件</w:t>
            </w: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通达度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主干道通过，路网密集</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主干道通过，路网稀疏</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次干道通过，路网较密集</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次干道通过，路网稀疏</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支路通过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道路级别(宽度)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＞20米</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15-20米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10-15米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5-10米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&lt;5米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距火车货运站的</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距离</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有铁路专线</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&lt;10公里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10-20公里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20-40公里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&gt;40公里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距公路货运站距离</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＜2公里</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2-5公里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5-10公里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10-20公里</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距高速公路出口</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距离</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1000-2000米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2000-3500米</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设施</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条件</w:t>
            </w: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动力能源保证度(%)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&gt;98</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供水保证度（%）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&gt;98</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排水设施完善度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排水畅通、常年不漫水</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畅通、年内2-3次漫水</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偶尔阻塞、年内2-3次漫水</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偶尔阻塞、年内5-9次漫水</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常阻塞、常漫水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通讯保证度（%）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&gt;98</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95-98</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90-95</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85-90</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产业集聚度</w:t>
            </w: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产业集聚类型</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工业集聚区，产业联系紧密</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工业集聚区，产业联系较紧密</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工业集聚区，产业有一定联系</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工业集聚区，产业无联系</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独立工业点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企业规模</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＞10万</w:t>
            </w:r>
            <w:r>
              <w:rPr>
                <w:rFonts w:hint="eastAsia" w:eastAsia="方正仿宋_GBK" w:cs="Times New Roman"/>
                <w:color w:val="auto"/>
                <w:kern w:val="2"/>
                <w:sz w:val="21"/>
                <w:szCs w:val="21"/>
              </w:rPr>
              <w:t>㎡</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3万-10万</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8千-3万</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3千-8千</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＜3千</w:t>
            </w:r>
            <w:r>
              <w:rPr>
                <w:rFonts w:hint="eastAsia" w:eastAsia="方正仿宋_GBK" w:cs="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5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环境条件</w:t>
            </w:r>
          </w:p>
        </w:tc>
        <w:tc>
          <w:tcPr>
            <w:tcW w:w="1070"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污染状况</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轻微</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较重</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21"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有利</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较有利</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无影响</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较不利</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restart"/>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2221" w:type="dxa"/>
            <w:gridSpan w:val="2"/>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宗地形状、面积</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适宜布局</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基本适宜布局</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对布局无影</w:t>
            </w:r>
            <w:bookmarkStart w:id="32" w:name="_GoBack"/>
            <w:bookmarkEnd w:id="32"/>
            <w:r>
              <w:rPr>
                <w:rFonts w:eastAsia="方正仿宋_GBK" w:cs="Times New Roman"/>
                <w:color w:val="auto"/>
                <w:kern w:val="2"/>
                <w:sz w:val="21"/>
                <w:szCs w:val="21"/>
              </w:rPr>
              <w:t>响</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对布局有一定影响</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严重影响布局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21" w:type="dxa"/>
            <w:gridSpan w:val="2"/>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5°-10°</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10°-15°</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15°-25°</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7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221" w:type="dxa"/>
            <w:gridSpan w:val="2"/>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地质条件</w:t>
            </w:r>
          </w:p>
        </w:tc>
        <w:tc>
          <w:tcPr>
            <w:tcW w:w="999"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133"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不易发区</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低易发区</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中易发区</w:t>
            </w:r>
          </w:p>
        </w:tc>
        <w:tc>
          <w:tcPr>
            <w:tcW w:w="1268" w:type="dxa"/>
            <w:shd w:val="clear" w:color="auto" w:fill="auto"/>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高易发区、极易发区</w:t>
            </w:r>
          </w:p>
        </w:tc>
      </w:tr>
    </w:tbl>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bookmarkStart w:id="28" w:name="_Toc12302238"/>
      <w:bookmarkStart w:id="29" w:name="_Toc9331210"/>
      <w:bookmarkStart w:id="30" w:name="_Toc9272797"/>
      <w:bookmarkStart w:id="31" w:name="_Toc12368136"/>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keepNext w:val="0"/>
        <w:keepLines w:val="0"/>
        <w:pageBreakBefore w:val="0"/>
        <w:kinsoku/>
        <w:wordWrap/>
        <w:overflowPunct/>
        <w:topLinePunct w:val="0"/>
        <w:autoSpaceDE/>
        <w:autoSpaceDN/>
        <w:bidi w:val="0"/>
        <w:spacing w:line="52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4.1.5.6南川区工矿仓储用地基准地价修正系数表</w:t>
      </w:r>
      <w:bookmarkEnd w:id="28"/>
      <w:bookmarkEnd w:id="29"/>
      <w:bookmarkEnd w:id="30"/>
      <w:bookmarkEnd w:id="31"/>
    </w:p>
    <w:tbl>
      <w:tblPr>
        <w:tblStyle w:val="11"/>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53"/>
        <w:gridCol w:w="2352"/>
        <w:gridCol w:w="971"/>
        <w:gridCol w:w="1069"/>
        <w:gridCol w:w="1069"/>
        <w:gridCol w:w="106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43"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853"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交通</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条件</w:t>
            </w: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道路级别(宽度)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距火车货运站的距离</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距公路货运站距离</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距高速公路出口距离</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设施</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条件</w:t>
            </w: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动力能源保证度(%)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供水保证度（%）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排水设施完善度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通讯保证度（%）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产业</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集聚度</w:t>
            </w: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产业集聚类型</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企业规模</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853"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环境</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条件</w:t>
            </w:r>
          </w:p>
        </w:tc>
        <w:tc>
          <w:tcPr>
            <w:tcW w:w="2352"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污染状况</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3205"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2</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3205"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宗地形状、面积</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3205"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p>
        </w:tc>
        <w:tc>
          <w:tcPr>
            <w:tcW w:w="3205"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地质条件</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43"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调整幅度合计</w:t>
            </w:r>
          </w:p>
        </w:tc>
        <w:tc>
          <w:tcPr>
            <w:tcW w:w="97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17.5</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9</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0</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-9</w:t>
            </w:r>
          </w:p>
        </w:tc>
        <w:tc>
          <w:tcPr>
            <w:tcW w:w="106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right="0"/>
              <w:textAlignment w:val="auto"/>
              <w:rPr>
                <w:rFonts w:cs="Times New Roman"/>
                <w:color w:val="auto"/>
                <w:kern w:val="2"/>
                <w:sz w:val="21"/>
                <w:szCs w:val="21"/>
              </w:rPr>
            </w:pPr>
            <w:r>
              <w:rPr>
                <w:rFonts w:cs="Times New Roman"/>
                <w:kern w:val="2"/>
                <w:sz w:val="21"/>
                <w:szCs w:val="21"/>
              </w:rPr>
              <w:t>-17.5</w:t>
            </w:r>
          </w:p>
        </w:tc>
      </w:tr>
    </w:tbl>
    <w:p>
      <w:pPr>
        <w:pStyle w:val="32"/>
        <w:pageBreakBefore w:val="0"/>
        <w:kinsoku/>
        <w:wordWrap/>
        <w:overflowPunct/>
        <w:topLinePunct w:val="0"/>
        <w:autoSpaceDE/>
        <w:autoSpaceDN/>
        <w:bidi w:val="0"/>
        <w:spacing w:line="600" w:lineRule="exact"/>
        <w:jc w:val="both"/>
        <w:textAlignment w:val="auto"/>
        <w:rPr>
          <w:rFonts w:ascii="仿宋" w:hAnsi="仿宋" w:eastAsia="仿宋"/>
        </w:rPr>
      </w:pPr>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4.1.5.7南川区公共管理与公共服务用地基准地价修正因素指标说明表</w:t>
      </w:r>
    </w:p>
    <w:tbl>
      <w:tblPr>
        <w:tblStyle w:val="11"/>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661"/>
        <w:gridCol w:w="1695"/>
        <w:gridCol w:w="1350"/>
        <w:gridCol w:w="1170"/>
        <w:gridCol w:w="1305"/>
        <w:gridCol w:w="11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8"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66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繁华程度</w:t>
            </w: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距商服中心距离</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＜200米</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200-500米</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1000-1500米</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商服网点密度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密集</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较密集</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较不密集</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不密集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有生活型主干道通过</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有混合型主干道通过</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有生活型次干道通过</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交通型道路通过</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支路通过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公交便捷度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5条以上公交线路通过</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3-4条公交线路</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2条公交线路</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1条公交线路</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无公交线路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基础设施完善度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供水、供电、供气设施齐备，保障度高</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供水、供电、供气设施齐备，保障度较高</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供水、供电、供气设施基本齐备，有一定保障</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供水、供电、供气设施不齐备，保障度较低</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供水、供电、供气设施不齐备，保障度低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公用设施</w:t>
            </w: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学校、医院等公用服务设施</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完备度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各类公用服务设施齐全，能很好满足居民生活</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公用服务设施较齐全，能较好满足居民生活</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公用服务设施基本齐全，基本能满足居民生活</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公用服务设施不够齐全, 对居民生活有一定影响</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仅零星设施分布有少量公用服务设施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w:t>
            </w: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人口密度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较高</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较低</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66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169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有利</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较有利</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较不利</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2356"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＜200米</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200-300米</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300-400米</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400-500米</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356"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距江景、温泉资源距离</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＜300米</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300-500米</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500-1000米</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1000-2000米</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356"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噪声、大气污染</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轻微污染</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一般</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较重污染</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356"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5-10</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10-15</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15-25</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2"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356"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地质灾害</w:t>
            </w:r>
          </w:p>
        </w:tc>
        <w:tc>
          <w:tcPr>
            <w:tcW w:w="135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无</w:t>
            </w:r>
          </w:p>
        </w:tc>
        <w:tc>
          <w:tcPr>
            <w:tcW w:w="117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不易发区</w:t>
            </w:r>
          </w:p>
        </w:tc>
        <w:tc>
          <w:tcPr>
            <w:tcW w:w="130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低易发区</w:t>
            </w:r>
          </w:p>
        </w:tc>
        <w:tc>
          <w:tcPr>
            <w:tcW w:w="115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中易发区</w:t>
            </w:r>
          </w:p>
        </w:tc>
        <w:tc>
          <w:tcPr>
            <w:tcW w:w="1140"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eastAsia="方正仿宋_GBK" w:cs="Times New Roman"/>
                <w:color w:val="auto"/>
                <w:kern w:val="2"/>
                <w:sz w:val="21"/>
                <w:szCs w:val="21"/>
              </w:rPr>
            </w:pPr>
            <w:r>
              <w:rPr>
                <w:rFonts w:eastAsia="方正仿宋_GBK" w:cs="Times New Roman"/>
                <w:color w:val="auto"/>
                <w:kern w:val="2"/>
                <w:sz w:val="21"/>
                <w:szCs w:val="21"/>
              </w:rPr>
              <w:t>高易发区</w:t>
            </w:r>
          </w:p>
        </w:tc>
      </w:tr>
    </w:tbl>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ageBreakBefore w:val="0"/>
        <w:kinsoku/>
        <w:wordWrap/>
        <w:overflowPunct/>
        <w:topLinePunct w:val="0"/>
        <w:autoSpaceDE/>
        <w:autoSpaceDN/>
        <w:bidi w:val="0"/>
        <w:adjustRightInd w:val="0"/>
        <w:snapToGrid w:val="0"/>
        <w:spacing w:line="600" w:lineRule="exact"/>
        <w:jc w:val="center"/>
        <w:textAlignment w:val="auto"/>
        <w:rPr>
          <w:rFonts w:ascii="仿宋" w:hAnsi="仿宋" w:eastAsia="仿宋"/>
          <w:szCs w:val="28"/>
        </w:rPr>
      </w:pPr>
    </w:p>
    <w:p>
      <w:pPr>
        <w:pStyle w:val="2"/>
        <w:rPr>
          <w:rFonts w:ascii="仿宋" w:hAnsi="仿宋" w:eastAsia="仿宋"/>
          <w:szCs w:val="28"/>
        </w:rPr>
      </w:pPr>
    </w:p>
    <w:p/>
    <w:p>
      <w:pPr>
        <w:pStyle w:val="32"/>
        <w:pageBreakBefore w:val="0"/>
        <w:kinsoku/>
        <w:wordWrap/>
        <w:overflowPunct/>
        <w:topLinePunct w:val="0"/>
        <w:autoSpaceDE/>
        <w:autoSpaceDN/>
        <w:bidi w:val="0"/>
        <w:spacing w:line="600" w:lineRule="exact"/>
        <w:textAlignment w:val="auto"/>
        <w:rPr>
          <w:rFonts w:hint="eastAsia" w:ascii="方正黑体_GBK" w:hAnsi="方正黑体_GBK" w:eastAsia="方正黑体_GBK" w:cs="方正黑体_GBK"/>
          <w:sz w:val="28"/>
          <w:szCs w:val="28"/>
        </w:rPr>
      </w:pPr>
    </w:p>
    <w:p>
      <w:pPr>
        <w:pStyle w:val="32"/>
        <w:pageBreakBefore w:val="0"/>
        <w:kinsoku/>
        <w:wordWrap/>
        <w:overflowPunct/>
        <w:topLinePunct w:val="0"/>
        <w:autoSpaceDE/>
        <w:autoSpaceDN/>
        <w:bidi w:val="0"/>
        <w:spacing w:line="600" w:lineRule="exact"/>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4.1.5.8南川区公共管理与公共服务用地基准地价修正系数表</w:t>
      </w:r>
    </w:p>
    <w:tbl>
      <w:tblPr>
        <w:tblStyle w:val="11"/>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121"/>
        <w:gridCol w:w="2691"/>
        <w:gridCol w:w="775"/>
        <w:gridCol w:w="975"/>
        <w:gridCol w:w="989"/>
        <w:gridCol w:w="97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5"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宗地修正因素</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优</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较优</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一般</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较差</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区域因素</w:t>
            </w:r>
          </w:p>
        </w:tc>
        <w:tc>
          <w:tcPr>
            <w:tcW w:w="1121"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繁华程度</w:t>
            </w: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距商服中心距离</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商服网点密度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1.5</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0.8</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-0.8</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道路通达度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公交便捷度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w:t>
            </w: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基础设施完善度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公用设施</w:t>
            </w: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学校、医院等公用服务设施完备度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人口状况</w:t>
            </w: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人口密度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-0.5</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112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规划状况</w:t>
            </w:r>
          </w:p>
        </w:tc>
        <w:tc>
          <w:tcPr>
            <w:tcW w:w="2691"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城市规划</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0.0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-1.0</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restart"/>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个别因素</w:t>
            </w:r>
          </w:p>
        </w:tc>
        <w:tc>
          <w:tcPr>
            <w:tcW w:w="3812"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距公交站点的距离</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812"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距江景、温泉资源距离</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812"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噪声、大气污染</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-0.5</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812"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宗地坡度</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0.6</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0.3</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-0.3</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dxa"/>
            <w:vMerge w:val="continue"/>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p>
        </w:tc>
        <w:tc>
          <w:tcPr>
            <w:tcW w:w="3812" w:type="dxa"/>
            <w:gridSpan w:val="2"/>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地质灾害</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0.6</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0.3</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-0.3</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5" w:type="dxa"/>
            <w:gridSpan w:val="3"/>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ascii="方正黑体_GBK" w:hAnsi="方正黑体_GBK" w:eastAsia="方正黑体_GBK" w:cs="方正黑体_GBK"/>
                <w:color w:val="auto"/>
                <w:kern w:val="2"/>
                <w:sz w:val="21"/>
                <w:szCs w:val="21"/>
              </w:rPr>
            </w:pPr>
            <w:r>
              <w:rPr>
                <w:rFonts w:hint="eastAsia" w:ascii="方正黑体_GBK" w:hAnsi="方正黑体_GBK" w:eastAsia="方正黑体_GBK" w:cs="方正黑体_GBK"/>
                <w:color w:val="auto"/>
                <w:kern w:val="2"/>
                <w:sz w:val="21"/>
                <w:szCs w:val="21"/>
              </w:rPr>
              <w:t>调整幅度合计</w:t>
            </w:r>
          </w:p>
        </w:tc>
        <w:tc>
          <w:tcPr>
            <w:tcW w:w="7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18.7</w:t>
            </w:r>
          </w:p>
        </w:tc>
        <w:tc>
          <w:tcPr>
            <w:tcW w:w="975"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9.4</w:t>
            </w:r>
          </w:p>
        </w:tc>
        <w:tc>
          <w:tcPr>
            <w:tcW w:w="989"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0</w:t>
            </w:r>
          </w:p>
        </w:tc>
        <w:tc>
          <w:tcPr>
            <w:tcW w:w="976"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-9.4</w:t>
            </w:r>
          </w:p>
        </w:tc>
        <w:tc>
          <w:tcPr>
            <w:tcW w:w="844" w:type="dxa"/>
            <w:vAlign w:val="center"/>
          </w:tcPr>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textAlignment w:val="auto"/>
              <w:rPr>
                <w:rFonts w:cs="Times New Roman"/>
                <w:color w:val="auto"/>
                <w:kern w:val="2"/>
                <w:sz w:val="21"/>
                <w:szCs w:val="21"/>
              </w:rPr>
            </w:pPr>
            <w:r>
              <w:rPr>
                <w:rFonts w:cs="Times New Roman"/>
                <w:kern w:val="2"/>
                <w:sz w:val="21"/>
                <w:szCs w:val="21"/>
              </w:rPr>
              <w:t>-18.7</w:t>
            </w:r>
          </w:p>
        </w:tc>
      </w:tr>
    </w:tbl>
    <w:p>
      <w:pPr>
        <w:pageBreakBefore w:val="0"/>
        <w:widowControl/>
        <w:kinsoku/>
        <w:wordWrap/>
        <w:overflowPunct/>
        <w:topLinePunct w:val="0"/>
        <w:autoSpaceDE/>
        <w:autoSpaceDN/>
        <w:bidi w:val="0"/>
        <w:spacing w:line="600" w:lineRule="exact"/>
        <w:jc w:val="left"/>
        <w:textAlignment w:val="auto"/>
        <w:rPr>
          <w:rFonts w:hint="eastAsia" w:ascii="方正黑体_GBK" w:hAnsi="仿宋" w:eastAsia="方正黑体_GBK"/>
          <w:b w:val="0"/>
          <w:sz w:val="32"/>
          <w:szCs w:val="32"/>
        </w:rPr>
      </w:pPr>
    </w:p>
    <w:p>
      <w:pPr>
        <w:pageBreakBefore w:val="0"/>
        <w:widowControl/>
        <w:kinsoku/>
        <w:wordWrap/>
        <w:overflowPunct/>
        <w:topLinePunct w:val="0"/>
        <w:autoSpaceDE/>
        <w:autoSpaceDN/>
        <w:bidi w:val="0"/>
        <w:spacing w:line="600" w:lineRule="exact"/>
        <w:jc w:val="left"/>
        <w:textAlignment w:val="auto"/>
        <w:rPr>
          <w:rFonts w:hint="eastAsia" w:ascii="方正黑体_GBK" w:hAnsi="仿宋" w:eastAsia="方正黑体_GBK"/>
          <w:b w:val="0"/>
          <w:sz w:val="32"/>
          <w:szCs w:val="32"/>
        </w:rPr>
      </w:pPr>
    </w:p>
    <w:p>
      <w:pPr>
        <w:pageBreakBefore w:val="0"/>
        <w:widowControl/>
        <w:kinsoku/>
        <w:wordWrap/>
        <w:overflowPunct/>
        <w:topLinePunct w:val="0"/>
        <w:autoSpaceDE/>
        <w:autoSpaceDN/>
        <w:bidi w:val="0"/>
        <w:spacing w:line="600" w:lineRule="exact"/>
        <w:jc w:val="left"/>
        <w:textAlignment w:val="auto"/>
        <w:rPr>
          <w:rFonts w:hint="eastAsia" w:ascii="方正黑体_GBK" w:hAnsi="仿宋" w:eastAsia="方正黑体_GBK"/>
          <w:b w:val="0"/>
          <w:sz w:val="32"/>
          <w:szCs w:val="32"/>
        </w:rPr>
      </w:pPr>
    </w:p>
    <w:p>
      <w:pPr>
        <w:pageBreakBefore w:val="0"/>
        <w:widowControl/>
        <w:kinsoku/>
        <w:wordWrap/>
        <w:overflowPunct/>
        <w:topLinePunct w:val="0"/>
        <w:autoSpaceDE/>
        <w:autoSpaceDN/>
        <w:bidi w:val="0"/>
        <w:spacing w:line="600" w:lineRule="exact"/>
        <w:jc w:val="left"/>
        <w:textAlignment w:val="auto"/>
        <w:rPr>
          <w:rFonts w:ascii="方正黑体_GBK" w:hAnsi="仿宋" w:eastAsia="方正黑体_GBK"/>
          <w:b w:val="0"/>
          <w:sz w:val="28"/>
          <w:szCs w:val="28"/>
        </w:rPr>
      </w:pPr>
      <w:r>
        <w:rPr>
          <w:rFonts w:hint="eastAsia" w:ascii="方正黑体_GBK" w:hAnsi="仿宋" w:eastAsia="方正黑体_GBK"/>
          <w:b w:val="0"/>
          <w:sz w:val="32"/>
          <w:szCs w:val="32"/>
        </w:rPr>
        <w:t>附件5</w:t>
      </w:r>
    </w:p>
    <w:p>
      <w:pPr>
        <w:pageBreakBefore w:val="0"/>
        <w:kinsoku/>
        <w:wordWrap/>
        <w:overflowPunct/>
        <w:topLinePunct w:val="0"/>
        <w:autoSpaceDE/>
        <w:autoSpaceDN/>
        <w:bidi w:val="0"/>
        <w:spacing w:line="600" w:lineRule="exact"/>
        <w:textAlignment w:val="auto"/>
      </w:pPr>
    </w:p>
    <w:p>
      <w:pPr>
        <w:pStyle w:val="10"/>
        <w:pageBreakBefore w:val="0"/>
        <w:kinsoku/>
        <w:wordWrap/>
        <w:overflowPunct/>
        <w:topLinePunct w:val="0"/>
        <w:autoSpaceDE/>
        <w:autoSpaceDN/>
        <w:bidi w:val="0"/>
        <w:spacing w:before="0" w:after="0" w:line="600" w:lineRule="exact"/>
        <w:textAlignment w:val="auto"/>
        <w:rPr>
          <w:rFonts w:hint="eastAsia" w:ascii="方正小标宋_GBK" w:hAnsi="方正小标宋_GBK" w:eastAsia="方正小标宋_GBK" w:cs="方正小标宋_GBK"/>
          <w:b w:val="0"/>
          <w:sz w:val="44"/>
          <w:szCs w:val="44"/>
        </w:rPr>
      </w:pPr>
      <w:r>
        <w:rPr>
          <w:rFonts w:hint="eastAsia" w:ascii="方正小标宋_GBK" w:hAnsi="方正小标宋_GBK" w:eastAsia="方正小标宋_GBK" w:cs="方正小标宋_GBK"/>
          <w:b w:val="0"/>
          <w:sz w:val="44"/>
          <w:szCs w:val="44"/>
        </w:rPr>
        <w:t>南川区土地收益系数表</w:t>
      </w:r>
    </w:p>
    <w:p>
      <w:pPr>
        <w:pageBreakBefore w:val="0"/>
        <w:kinsoku/>
        <w:wordWrap/>
        <w:overflowPunct/>
        <w:topLinePunct w:val="0"/>
        <w:autoSpaceDE/>
        <w:autoSpaceDN/>
        <w:bidi w:val="0"/>
        <w:spacing w:line="600" w:lineRule="exact"/>
        <w:textAlignment w:val="auto"/>
        <w:rPr>
          <w:lang w:val="zh-CN"/>
        </w:rPr>
      </w:pPr>
    </w:p>
    <w:tbl>
      <w:tblPr>
        <w:tblStyle w:val="11"/>
        <w:tblW w:w="874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1492"/>
        <w:gridCol w:w="1478"/>
        <w:gridCol w:w="142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08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149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商服</w:t>
            </w:r>
          </w:p>
        </w:tc>
        <w:tc>
          <w:tcPr>
            <w:tcW w:w="147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住宅</w:t>
            </w:r>
          </w:p>
        </w:tc>
        <w:tc>
          <w:tcPr>
            <w:tcW w:w="142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工矿仓储</w:t>
            </w:r>
          </w:p>
        </w:tc>
        <w:tc>
          <w:tcPr>
            <w:tcW w:w="226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公共管理与</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08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土地增值收益率（%）</w:t>
            </w:r>
          </w:p>
        </w:tc>
        <w:tc>
          <w:tcPr>
            <w:tcW w:w="149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30</w:t>
            </w:r>
          </w:p>
        </w:tc>
        <w:tc>
          <w:tcPr>
            <w:tcW w:w="147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35</w:t>
            </w:r>
          </w:p>
        </w:tc>
        <w:tc>
          <w:tcPr>
            <w:tcW w:w="142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20</w:t>
            </w:r>
          </w:p>
        </w:tc>
        <w:tc>
          <w:tcPr>
            <w:tcW w:w="226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08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划拨土地收益系数（%）</w:t>
            </w:r>
          </w:p>
        </w:tc>
        <w:tc>
          <w:tcPr>
            <w:tcW w:w="149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w:t>
            </w:r>
          </w:p>
        </w:tc>
        <w:tc>
          <w:tcPr>
            <w:tcW w:w="147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w:t>
            </w:r>
          </w:p>
        </w:tc>
        <w:tc>
          <w:tcPr>
            <w:tcW w:w="142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w:t>
            </w:r>
          </w:p>
        </w:tc>
        <w:tc>
          <w:tcPr>
            <w:tcW w:w="2265"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0" w:right="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eastAsia"/>
        </w:rPr>
      </w:pPr>
    </w:p>
    <w:p>
      <w:pPr>
        <w:pageBreakBefore w:val="0"/>
        <w:kinsoku/>
        <w:wordWrap/>
        <w:overflowPunct/>
        <w:topLinePunct w:val="0"/>
        <w:autoSpaceDE/>
        <w:autoSpaceDN/>
        <w:bidi w:val="0"/>
        <w:spacing w:line="600" w:lineRule="exact"/>
        <w:ind w:firstLine="600"/>
        <w:textAlignment w:val="auto"/>
        <w:rPr>
          <w:rFonts w:ascii="宋体" w:hAnsi="宋体"/>
          <w:sz w:val="30"/>
        </w:rPr>
      </w:pPr>
    </w:p>
    <w:p>
      <w:pPr>
        <w:pStyle w:val="16"/>
        <w:keepNext w:val="0"/>
        <w:keepLines w:val="0"/>
        <w:pageBreakBefore w:val="0"/>
        <w:kinsoku/>
        <w:wordWrap/>
        <w:overflowPunct/>
        <w:topLinePunct w:val="0"/>
        <w:autoSpaceDE/>
        <w:autoSpaceDN/>
        <w:bidi w:val="0"/>
        <w:adjustRightInd/>
        <w:spacing w:line="600" w:lineRule="exact"/>
        <w:textAlignment w:val="auto"/>
        <w:rPr>
          <w:rFonts w:hint="eastAsia"/>
          <w:lang w:val="en-US" w:eastAsia="zh-CN"/>
        </w:rPr>
      </w:pP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8"/>
      <w:wordWrap w:val="0"/>
      <w:ind w:left="3786" w:leftChars="1803" w:firstLine="7398" w:firstLineChars="2312"/>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val="en-US" w:eastAsia="zh-CN"/>
      </w:rPr>
      <w:t xml:space="preserve">南川区人民政府办公室发布     </w:t>
    </w:r>
  </w:p>
  <w:p>
    <w:pPr>
      <w:pStyle w:val="8"/>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南川区人民政府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jM2ZiZTcxNDE3YmQ4MTFjMDU3MzA0ZTNlYTUxNzcifQ=="/>
  </w:docVars>
  <w:rsids>
    <w:rsidRoot w:val="00172A27"/>
    <w:rsid w:val="00217B43"/>
    <w:rsid w:val="019E71BD"/>
    <w:rsid w:val="01C65124"/>
    <w:rsid w:val="02F328B8"/>
    <w:rsid w:val="041C42DA"/>
    <w:rsid w:val="04B679C3"/>
    <w:rsid w:val="05285AC7"/>
    <w:rsid w:val="05F07036"/>
    <w:rsid w:val="06E00104"/>
    <w:rsid w:val="080F63D8"/>
    <w:rsid w:val="09341458"/>
    <w:rsid w:val="0952512D"/>
    <w:rsid w:val="098254C2"/>
    <w:rsid w:val="09D97B51"/>
    <w:rsid w:val="0A766EDE"/>
    <w:rsid w:val="0AD64BE8"/>
    <w:rsid w:val="0B0912D7"/>
    <w:rsid w:val="0E025194"/>
    <w:rsid w:val="0FF352A0"/>
    <w:rsid w:val="139B2D7E"/>
    <w:rsid w:val="152D2DCA"/>
    <w:rsid w:val="187168EA"/>
    <w:rsid w:val="196673CA"/>
    <w:rsid w:val="1B2F4AEE"/>
    <w:rsid w:val="1CF734C9"/>
    <w:rsid w:val="1DEC284C"/>
    <w:rsid w:val="1E6523AC"/>
    <w:rsid w:val="22440422"/>
    <w:rsid w:val="22BB4BBB"/>
    <w:rsid w:val="2A1B3F79"/>
    <w:rsid w:val="2AEB3417"/>
    <w:rsid w:val="2E3F2CF5"/>
    <w:rsid w:val="31A15F24"/>
    <w:rsid w:val="324A1681"/>
    <w:rsid w:val="328E06AE"/>
    <w:rsid w:val="36314CDF"/>
    <w:rsid w:val="36FB1DF0"/>
    <w:rsid w:val="395347B5"/>
    <w:rsid w:val="39A232A0"/>
    <w:rsid w:val="39E745AA"/>
    <w:rsid w:val="3B5A6BBB"/>
    <w:rsid w:val="3EDA13A6"/>
    <w:rsid w:val="417B75E9"/>
    <w:rsid w:val="42F058B7"/>
    <w:rsid w:val="436109F6"/>
    <w:rsid w:val="441A38D4"/>
    <w:rsid w:val="4504239D"/>
    <w:rsid w:val="4BC77339"/>
    <w:rsid w:val="4C9236C5"/>
    <w:rsid w:val="4E250A85"/>
    <w:rsid w:val="4FFD4925"/>
    <w:rsid w:val="505C172E"/>
    <w:rsid w:val="506405EA"/>
    <w:rsid w:val="52F46F0B"/>
    <w:rsid w:val="532B6A10"/>
    <w:rsid w:val="53D8014D"/>
    <w:rsid w:val="55E064E0"/>
    <w:rsid w:val="571D6CF2"/>
    <w:rsid w:val="572C6D10"/>
    <w:rsid w:val="5A2D68D2"/>
    <w:rsid w:val="5DC34279"/>
    <w:rsid w:val="5FCD688E"/>
    <w:rsid w:val="5FF9BDAA"/>
    <w:rsid w:val="5FFE5333"/>
    <w:rsid w:val="608816D1"/>
    <w:rsid w:val="60EF4E7F"/>
    <w:rsid w:val="639D5821"/>
    <w:rsid w:val="648B0A32"/>
    <w:rsid w:val="665233C1"/>
    <w:rsid w:val="68BA4F1D"/>
    <w:rsid w:val="69AC0D42"/>
    <w:rsid w:val="6AD9688B"/>
    <w:rsid w:val="6D0E3F22"/>
    <w:rsid w:val="70352268"/>
    <w:rsid w:val="71032C88"/>
    <w:rsid w:val="744E4660"/>
    <w:rsid w:val="753355A2"/>
    <w:rsid w:val="759F1C61"/>
    <w:rsid w:val="769F2DE8"/>
    <w:rsid w:val="76FDEB7C"/>
    <w:rsid w:val="795D728C"/>
    <w:rsid w:val="79C65162"/>
    <w:rsid w:val="7C9011D9"/>
    <w:rsid w:val="7DC651C5"/>
    <w:rsid w:val="7DF350ED"/>
    <w:rsid w:val="7E7D28B6"/>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macro"/>
    <w:uiPriority w:val="0"/>
    <w:pPr>
      <w:snapToGrid w:val="0"/>
      <w:jc w:val="center"/>
    </w:pPr>
    <w:rPr>
      <w:rFonts w:ascii="Times New Roman" w:hAnsi="Times New Roman" w:eastAsia="仿宋" w:cs="Tahoma"/>
      <w:color w:val="000000" w:themeColor="text1"/>
      <w:sz w:val="18"/>
      <w:szCs w:val="18"/>
      <w:lang w:val="en-US" w:eastAsia="zh-CN" w:bidi="ar-SA"/>
      <w14:textFill>
        <w14:solidFill>
          <w14:schemeClr w14:val="tx1"/>
        </w14:solidFill>
      </w14:textFill>
    </w:rPr>
  </w:style>
  <w:style w:type="paragraph" w:styleId="5">
    <w:name w:val="annotation text"/>
    <w:basedOn w:val="1"/>
    <w:qFormat/>
    <w:uiPriority w:val="0"/>
    <w:pPr>
      <w:jc w:val="left"/>
    </w:pPr>
  </w:style>
  <w:style w:type="paragraph" w:styleId="6">
    <w:name w:val="Body Text"/>
    <w:basedOn w:val="1"/>
    <w:link w:val="24"/>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48"/>
      <w:szCs w:val="24"/>
      <w:lang w:val="en-US" w:eastAsia="zh-CN" w:bidi="ar"/>
    </w:rPr>
  </w:style>
  <w:style w:type="paragraph" w:styleId="7">
    <w:name w:val="footer"/>
    <w:basedOn w:val="1"/>
    <w:link w:val="21"/>
    <w:qFormat/>
    <w:uiPriority w:val="0"/>
    <w:pPr>
      <w:tabs>
        <w:tab w:val="center" w:pos="4153"/>
        <w:tab w:val="right" w:pos="8306"/>
      </w:tabs>
      <w:snapToGrid w:val="0"/>
      <w:jc w:val="left"/>
    </w:pPr>
    <w:rPr>
      <w:sz w:val="18"/>
    </w:rPr>
  </w:style>
  <w:style w:type="paragraph" w:styleId="8">
    <w:name w:val="header"/>
    <w:basedOn w:val="1"/>
    <w:link w:val="2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qFormat/>
    <w:uiPriority w:val="0"/>
    <w:pPr>
      <w:spacing w:before="240" w:after="60" w:line="500" w:lineRule="exact"/>
      <w:jc w:val="center"/>
      <w:outlineLvl w:val="0"/>
    </w:pPr>
    <w:rPr>
      <w:rFonts w:ascii="Cambria" w:hAnsi="Cambria" w:eastAsiaTheme="minorEastAsia" w:cstheme="minorBidi"/>
      <w:b/>
      <w:bCs/>
      <w:sz w:val="32"/>
      <w:szCs w:val="32"/>
      <w:lang w:val="zh-CN"/>
    </w:rPr>
  </w:style>
  <w:style w:type="character" w:styleId="13">
    <w:name w:val="Strong"/>
    <w:basedOn w:val="12"/>
    <w:qFormat/>
    <w:uiPriority w:val="0"/>
    <w:rPr>
      <w:b/>
      <w:bCs/>
    </w:rPr>
  </w:style>
  <w:style w:type="character" w:styleId="14">
    <w:name w:val="FollowedHyperlink"/>
    <w:basedOn w:val="12"/>
    <w:qFormat/>
    <w:uiPriority w:val="0"/>
    <w:rPr>
      <w:color w:val="800080"/>
      <w:u w:val="single"/>
    </w:rPr>
  </w:style>
  <w:style w:type="character" w:styleId="15">
    <w:name w:val="Hyperlink"/>
    <w:basedOn w:val="12"/>
    <w:qFormat/>
    <w:uiPriority w:val="0"/>
    <w:rPr>
      <w:color w:val="0000FF"/>
      <w:u w:val="single"/>
    </w:rPr>
  </w:style>
  <w:style w:type="paragraph" w:customStyle="1" w:styleId="16">
    <w:name w:val="正文文本 21"/>
    <w:basedOn w:val="1"/>
    <w:qFormat/>
    <w:uiPriority w:val="0"/>
    <w:pPr>
      <w:snapToGrid w:val="0"/>
      <w:spacing w:line="540" w:lineRule="exact"/>
    </w:pPr>
    <w:rPr>
      <w:rFonts w:eastAsia="方正仿宋_GBK"/>
      <w:color w:val="000000"/>
    </w:rPr>
  </w:style>
  <w:style w:type="paragraph" w:customStyle="1" w:styleId="17">
    <w:name w:val="Body Text 21"/>
    <w:basedOn w:val="1"/>
    <w:uiPriority w:val="0"/>
    <w:pPr>
      <w:keepNext w:val="0"/>
      <w:keepLines w:val="0"/>
      <w:widowControl w:val="0"/>
      <w:suppressLineNumbers w:val="0"/>
      <w:snapToGrid w:val="0"/>
      <w:spacing w:before="0" w:beforeAutospacing="0" w:after="0" w:afterAutospacing="0" w:line="540" w:lineRule="exact"/>
      <w:ind w:left="0" w:right="0"/>
      <w:jc w:val="both"/>
    </w:pPr>
    <w:rPr>
      <w:rFonts w:hint="default" w:ascii="Times New Roman" w:hAnsi="Times New Roman" w:eastAsia="方正仿宋_GBK" w:cs="Times New Roman"/>
      <w:color w:val="000000"/>
      <w:kern w:val="2"/>
      <w:sz w:val="21"/>
      <w:szCs w:val="24"/>
      <w:lang w:val="en-US" w:eastAsia="zh-CN" w:bidi="ar"/>
    </w:rPr>
  </w:style>
  <w:style w:type="paragraph" w:customStyle="1" w:styleId="18">
    <w:name w:val="p0"/>
    <w:basedOn w:val="1"/>
    <w:qFormat/>
    <w:uiPriority w:val="0"/>
    <w:pPr>
      <w:widowControl/>
    </w:pPr>
    <w:rPr>
      <w:rFonts w:ascii="Calibri" w:hAnsi="Calibri" w:eastAsia="宋体" w:cs="宋体"/>
      <w:kern w:val="0"/>
      <w:szCs w:val="32"/>
    </w:rPr>
  </w:style>
  <w:style w:type="character" w:customStyle="1" w:styleId="19">
    <w:name w:val="页眉 Char"/>
    <w:basedOn w:val="12"/>
    <w:link w:val="8"/>
    <w:qFormat/>
    <w:uiPriority w:val="0"/>
    <w:rPr>
      <w:rFonts w:hint="eastAsia" w:ascii="仿宋_GB2312" w:eastAsia="仿宋_GB2312" w:cs="仿宋_GB2312"/>
      <w:kern w:val="2"/>
      <w:sz w:val="18"/>
      <w:szCs w:val="24"/>
    </w:rPr>
  </w:style>
  <w:style w:type="character" w:customStyle="1" w:styleId="20">
    <w:name w:val="正文文本 2 Char"/>
    <w:basedOn w:val="12"/>
    <w:qFormat/>
    <w:uiPriority w:val="0"/>
    <w:rPr>
      <w:rFonts w:hint="eastAsia" w:ascii="仿宋_GB2312" w:eastAsia="仿宋_GB2312" w:cs="仿宋_GB2312"/>
      <w:kern w:val="2"/>
      <w:sz w:val="32"/>
      <w:szCs w:val="24"/>
    </w:rPr>
  </w:style>
  <w:style w:type="character" w:customStyle="1" w:styleId="21">
    <w:name w:val="页脚 Char"/>
    <w:basedOn w:val="12"/>
    <w:link w:val="7"/>
    <w:qFormat/>
    <w:uiPriority w:val="0"/>
    <w:rPr>
      <w:rFonts w:hint="eastAsia" w:ascii="仿宋_GB2312" w:eastAsia="仿宋_GB2312" w:cs="仿宋_GB2312"/>
      <w:kern w:val="2"/>
      <w:sz w:val="18"/>
      <w:szCs w:val="24"/>
    </w:rPr>
  </w:style>
  <w:style w:type="character" w:customStyle="1" w:styleId="22">
    <w:name w:val="font21"/>
    <w:basedOn w:val="12"/>
    <w:qFormat/>
    <w:uiPriority w:val="0"/>
    <w:rPr>
      <w:rFonts w:hint="eastAsia" w:ascii="方正仿宋_GBK" w:hAnsi="方正仿宋_GBK" w:eastAsia="方正仿宋_GBK" w:cs="方正仿宋_GBK"/>
      <w:color w:val="000000"/>
      <w:sz w:val="20"/>
      <w:szCs w:val="20"/>
      <w:u w:val="none"/>
    </w:rPr>
  </w:style>
  <w:style w:type="character" w:customStyle="1" w:styleId="23">
    <w:name w:val="p0 Char Char"/>
    <w:basedOn w:val="12"/>
    <w:qFormat/>
    <w:uiPriority w:val="0"/>
    <w:rPr>
      <w:sz w:val="21"/>
      <w:szCs w:val="21"/>
    </w:rPr>
  </w:style>
  <w:style w:type="character" w:customStyle="1" w:styleId="24">
    <w:name w:val="正文文本 Char"/>
    <w:basedOn w:val="12"/>
    <w:link w:val="6"/>
    <w:qFormat/>
    <w:uiPriority w:val="0"/>
    <w:rPr>
      <w:rFonts w:hint="default" w:ascii="Calibri" w:hAnsi="Calibri" w:cs="Calibri"/>
      <w:kern w:val="2"/>
      <w:sz w:val="48"/>
      <w:szCs w:val="24"/>
    </w:rPr>
  </w:style>
  <w:style w:type="character" w:customStyle="1" w:styleId="25">
    <w:name w:val="page number"/>
    <w:basedOn w:val="12"/>
    <w:qFormat/>
    <w:uiPriority w:val="0"/>
  </w:style>
  <w:style w:type="paragraph" w:customStyle="1" w:styleId="26">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仿宋_GB2312" w:hAnsi="Calibri" w:eastAsia="仿宋_GB2312" w:cs="仿宋_GB2312"/>
      <w:color w:val="000000"/>
      <w:kern w:val="0"/>
      <w:sz w:val="24"/>
      <w:szCs w:val="24"/>
      <w:lang w:val="en-US" w:eastAsia="zh-CN" w:bidi="ar"/>
    </w:rPr>
  </w:style>
  <w:style w:type="character" w:customStyle="1" w:styleId="27">
    <w:name w:val="页眉 Char1"/>
    <w:basedOn w:val="12"/>
    <w:link w:val="8"/>
    <w:qFormat/>
    <w:uiPriority w:val="0"/>
    <w:rPr>
      <w:rFonts w:hint="eastAsia" w:ascii="仿宋_GB2312" w:eastAsia="仿宋_GB2312" w:cs="仿宋_GB2312"/>
      <w:kern w:val="2"/>
      <w:sz w:val="18"/>
      <w:szCs w:val="18"/>
    </w:rPr>
  </w:style>
  <w:style w:type="paragraph" w:customStyle="1" w:styleId="28">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仿宋_GB2312" w:cs="Times New Roman"/>
      <w:kern w:val="2"/>
      <w:sz w:val="32"/>
      <w:szCs w:val="24"/>
      <w:lang w:val="en-US" w:eastAsia="zh-CN" w:bidi="ar"/>
    </w:rPr>
  </w:style>
  <w:style w:type="paragraph" w:customStyle="1" w:styleId="29">
    <w:name w:val="Normal (Web)"/>
    <w:basedOn w:val="1"/>
    <w:qFormat/>
    <w:uiPriority w:val="0"/>
    <w:pPr>
      <w:widowControl/>
      <w:spacing w:beforeAutospacing="1" w:afterAutospacing="1"/>
      <w:jc w:val="left"/>
    </w:pPr>
    <w:rPr>
      <w:rFonts w:ascii="宋体" w:hAnsi="宋体" w:eastAsia="宋体" w:cs="宋体"/>
      <w:kern w:val="0"/>
      <w:sz w:val="24"/>
    </w:rPr>
  </w:style>
  <w:style w:type="paragraph" w:customStyle="1" w:styleId="30">
    <w:name w:val="Body text|4"/>
    <w:basedOn w:val="1"/>
    <w:qFormat/>
    <w:uiPriority w:val="0"/>
    <w:pPr>
      <w:shd w:val="clear" w:color="auto" w:fill="FFFFFF"/>
      <w:spacing w:after="700" w:line="571" w:lineRule="exact"/>
      <w:jc w:val="center"/>
    </w:pPr>
    <w:rPr>
      <w:rFonts w:ascii="PMingLiU" w:hAnsi="PMingLiU" w:eastAsia="PMingLiU" w:cs="PMingLiU"/>
      <w:sz w:val="34"/>
      <w:szCs w:val="34"/>
    </w:rPr>
  </w:style>
  <w:style w:type="table" w:customStyle="1" w:styleId="31">
    <w:name w:val="样式2"/>
    <w:basedOn w:val="11"/>
    <w:qFormat/>
    <w:uiPriority w:val="99"/>
    <w:pPr>
      <w:jc w:val="center"/>
    </w:pPr>
    <w:rPr>
      <w:rFonts w:ascii="Calibri" w:hAnsi="Calibri" w:eastAsia="仿宋" w:cs="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32">
    <w:name w:val="表明图名"/>
    <w:basedOn w:val="1"/>
    <w:qFormat/>
    <w:uiPriority w:val="0"/>
    <w:pPr>
      <w:widowControl/>
      <w:jc w:val="center"/>
    </w:pPr>
    <w:rPr>
      <w:rFonts w:ascii="黑体" w:hAnsi="黑体" w:eastAsia="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wmf"/><Relationship Id="rId16" Type="http://schemas.openxmlformats.org/officeDocument/2006/relationships/oleObject" Target="embeddings/oleObject2.bin"/><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9042</Words>
  <Characters>10549</Characters>
  <Lines>1</Lines>
  <Paragraphs>1</Paragraphs>
  <TotalTime>7</TotalTime>
  <ScaleCrop>false</ScaleCrop>
  <LinksUpToDate>false</LinksUpToDate>
  <CharactersWithSpaces>10610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Administrator</cp:lastModifiedBy>
  <cp:lastPrinted>2022-05-12T00:46:00Z</cp:lastPrinted>
  <dcterms:modified xsi:type="dcterms:W3CDTF">2023-12-15T01:01:23Z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7F776B74ECE44CB7A45B586A0D6DFA19_13</vt:lpwstr>
  </property>
</Properties>
</file>