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40" w:lineRule="exact"/>
        <w:textAlignment w:val="auto"/>
        <w:rPr>
          <w:rFonts w:ascii="方正仿宋_GBK" w:hAnsi="方正仿宋_GBK" w:eastAsia="方正仿宋_GBK" w:cs="方正仿宋_GBK"/>
          <w:sz w:val="32"/>
          <w:szCs w:val="32"/>
        </w:rPr>
      </w:pPr>
    </w:p>
    <w:p>
      <w:pPr>
        <w:pStyle w:val="2"/>
        <w:keepNext w:val="0"/>
        <w:keepLines w:val="0"/>
        <w:pageBreakBefore w:val="0"/>
        <w:widowControl w:val="0"/>
        <w:kinsoku/>
        <w:wordWrap/>
        <w:overflowPunct/>
        <w:topLinePunct w:val="0"/>
        <w:autoSpaceDE/>
        <w:autoSpaceDN/>
        <w:bidi w:val="0"/>
        <w:adjustRightInd/>
        <w:spacing w:line="540" w:lineRule="exact"/>
        <w:textAlignment w:val="auto"/>
        <w:rPr>
          <w:rFonts w:ascii="方正仿宋_GBK" w:hAnsi="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关于进一步鼓励扶持企业挂牌上市的通知</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方正仿宋_GBK" w:eastAsia="方正仿宋_GBK"/>
          <w:sz w:val="32"/>
          <w:szCs w:val="32"/>
        </w:rPr>
      </w:pPr>
      <w:r>
        <w:rPr>
          <w:rFonts w:hint="default" w:ascii="方正仿宋_GBK" w:eastAsia="方正仿宋_GBK"/>
          <w:sz w:val="32"/>
          <w:szCs w:val="32"/>
        </w:rPr>
        <w:t>南川府办</w:t>
      </w:r>
      <w:r>
        <w:rPr>
          <w:rFonts w:hint="eastAsia" w:ascii="方正仿宋_GBK" w:eastAsia="方正仿宋_GBK"/>
          <w:sz w:val="32"/>
          <w:szCs w:val="32"/>
          <w:lang w:eastAsia="zh-CN"/>
        </w:rPr>
        <w:t>发</w:t>
      </w:r>
      <w:r>
        <w:rPr>
          <w:rFonts w:hint="default" w:ascii="方正仿宋_GBK" w:eastAsia="方正仿宋_GBK"/>
          <w:sz w:val="32"/>
          <w:szCs w:val="32"/>
        </w:rPr>
        <w:t>〔</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3</w:t>
      </w:r>
      <w:r>
        <w:rPr>
          <w:rFonts w:hint="default" w:ascii="方正仿宋_GBK" w:eastAsia="方正仿宋_GBK"/>
          <w:sz w:val="32"/>
          <w:szCs w:val="32"/>
        </w:rPr>
        <w:t>〕</w:t>
      </w:r>
      <w:r>
        <w:rPr>
          <w:rFonts w:hint="eastAsia" w:ascii="Times New Roman" w:hAnsi="Times New Roman" w:eastAsia="方正仿宋_GBK" w:cs="Times New Roman"/>
          <w:sz w:val="32"/>
          <w:szCs w:val="32"/>
          <w:lang w:val="en-US" w:eastAsia="zh-CN"/>
        </w:rPr>
        <w:t>13</w:t>
      </w:r>
      <w:r>
        <w:rPr>
          <w:rFonts w:hint="default" w:ascii="方正仿宋_GBK" w:eastAsia="方正仿宋_GBK"/>
          <w:sz w:val="32"/>
          <w:szCs w:val="32"/>
        </w:rPr>
        <w:t>号</w:t>
      </w:r>
    </w:p>
    <w:p>
      <w:pPr>
        <w:pStyle w:val="2"/>
        <w:rPr>
          <w:rFonts w:hint="default"/>
        </w:rPr>
      </w:pPr>
    </w:p>
    <w:p>
      <w:pPr>
        <w:pStyle w:val="2"/>
        <w:keepNext w:val="0"/>
        <w:keepLines w:val="0"/>
        <w:pageBreakBefore w:val="0"/>
        <w:widowControl w:val="0"/>
        <w:kinsoku/>
        <w:wordWrap/>
        <w:overflowPunct/>
        <w:topLinePunct w:val="0"/>
        <w:autoSpaceDE/>
        <w:autoSpaceDN/>
        <w:bidi w:val="0"/>
        <w:adjustRightInd/>
        <w:snapToGrid w:val="0"/>
        <w:spacing w:line="600" w:lineRule="exact"/>
        <w:textAlignment w:val="auto"/>
        <w:rPr>
          <w:rFonts w:hint="eastAsia" w:ascii="方正仿宋_GBK" w:eastAsia="方正仿宋_GBK"/>
          <w:sz w:val="32"/>
          <w:szCs w:val="32"/>
        </w:rPr>
      </w:pPr>
      <w:r>
        <w:rPr>
          <w:rFonts w:hint="eastAsia" w:ascii="方正仿宋_GBK" w:eastAsia="方正仿宋_GBK"/>
          <w:sz w:val="32"/>
          <w:szCs w:val="32"/>
        </w:rPr>
        <w:t>各乡镇人民政府、街道办事处，区政府各部门，有关单位：</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按照《重庆市财政局重庆市地方金融监督管理局关于印发重庆市上市、挂牌企业财政奖补办法的通知》（渝财规〔</w:t>
      </w:r>
      <w:r>
        <w:rPr>
          <w:rFonts w:hint="eastAsia" w:ascii="Times New Roman" w:hAnsi="Times New Roman" w:eastAsia="方正仿宋_GBK" w:cs="Times New Roman"/>
          <w:color w:val="auto"/>
          <w:kern w:val="2"/>
          <w:sz w:val="32"/>
          <w:szCs w:val="32"/>
          <w:lang w:val="en-US" w:eastAsia="zh-CN" w:bidi="ar-SA"/>
        </w:rPr>
        <w:t>2022</w:t>
      </w:r>
      <w:r>
        <w:rPr>
          <w:rFonts w:hint="eastAsia" w:ascii="方正仿宋_GBK" w:eastAsia="方正仿宋_GBK"/>
          <w:sz w:val="32"/>
          <w:szCs w:val="32"/>
        </w:rPr>
        <w:t>〕</w:t>
      </w:r>
      <w:r>
        <w:rPr>
          <w:rFonts w:hint="eastAsia" w:ascii="Times New Roman" w:hAnsi="Times New Roman" w:eastAsia="方正仿宋_GBK" w:cs="Times New Roman"/>
          <w:color w:val="auto"/>
          <w:kern w:val="2"/>
          <w:sz w:val="32"/>
          <w:szCs w:val="32"/>
          <w:lang w:val="en-US" w:eastAsia="zh-CN" w:bidi="ar-SA"/>
        </w:rPr>
        <w:t>10</w:t>
      </w:r>
      <w:r>
        <w:rPr>
          <w:rFonts w:hint="eastAsia" w:ascii="方正仿宋_GBK" w:eastAsia="方正仿宋_GBK"/>
          <w:sz w:val="32"/>
          <w:szCs w:val="32"/>
        </w:rPr>
        <w:t>号）和《重庆市企业上市工作联席会议办公室关于印发重庆市进一步推动企业上市工作实施方案（</w:t>
      </w:r>
      <w:r>
        <w:rPr>
          <w:rFonts w:hint="eastAsia" w:ascii="Times New Roman" w:hAnsi="Times New Roman" w:eastAsia="方正仿宋_GBK" w:cs="Times New Roman"/>
          <w:color w:val="auto"/>
          <w:kern w:val="2"/>
          <w:sz w:val="32"/>
          <w:szCs w:val="32"/>
          <w:lang w:val="en-US" w:eastAsia="zh-CN" w:bidi="ar-SA"/>
        </w:rPr>
        <w:t>2022</w:t>
      </w:r>
      <w:r>
        <w:rPr>
          <w:rFonts w:hint="eastAsia" w:ascii="方正仿宋_GBK" w:eastAsia="方正仿宋_GBK"/>
          <w:sz w:val="32"/>
          <w:szCs w:val="32"/>
        </w:rPr>
        <w:t>—</w:t>
      </w:r>
      <w:r>
        <w:rPr>
          <w:rFonts w:hint="eastAsia" w:ascii="Times New Roman" w:hAnsi="Times New Roman" w:eastAsia="方正仿宋_GBK" w:cs="Times New Roman"/>
          <w:color w:val="auto"/>
          <w:kern w:val="2"/>
          <w:sz w:val="32"/>
          <w:szCs w:val="32"/>
          <w:lang w:val="en-US" w:eastAsia="zh-CN" w:bidi="ar-SA"/>
        </w:rPr>
        <w:t>2025</w:t>
      </w:r>
      <w:r>
        <w:rPr>
          <w:rFonts w:hint="eastAsia" w:ascii="方正仿宋_GBK" w:eastAsia="方正仿宋_GBK"/>
          <w:sz w:val="32"/>
          <w:szCs w:val="32"/>
        </w:rPr>
        <w:t>）的通知》（渝上市办〔</w:t>
      </w:r>
      <w:r>
        <w:rPr>
          <w:rFonts w:hint="eastAsia" w:ascii="Times New Roman" w:hAnsi="Times New Roman" w:eastAsia="方正仿宋_GBK" w:cs="Times New Roman"/>
          <w:color w:val="auto"/>
          <w:kern w:val="2"/>
          <w:sz w:val="32"/>
          <w:szCs w:val="32"/>
          <w:lang w:val="en-US" w:eastAsia="zh-CN" w:bidi="ar-SA"/>
        </w:rPr>
        <w:t>2022</w:t>
      </w:r>
      <w:r>
        <w:rPr>
          <w:rFonts w:hint="eastAsia" w:ascii="方正仿宋_GBK" w:eastAsia="方正仿宋_GBK"/>
          <w:sz w:val="32"/>
          <w:szCs w:val="32"/>
        </w:rPr>
        <w:t>〕</w:t>
      </w: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号）等文件精神，为支持企业利用资本市场发展，充分发挥财政资金激励引导作用，加强财政金融政策协同联动，推动企业上市融资，促进我区企业提档升级，推进经济高质量发展。结合我区实际，就进一步鼓励扶持企业挂牌上市相关事宜通知如下：</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一、成功挂牌上市企业财政奖补范围和标准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（一）重庆股份转让中心及全国中小企业股份转让系统挂牌。</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对在重庆股份转让中心挂牌且完成股份制改造的企业给予</w:t>
      </w:r>
      <w:r>
        <w:rPr>
          <w:rFonts w:hint="eastAsia" w:ascii="Times New Roman" w:hAnsi="Times New Roman" w:eastAsia="方正仿宋_GBK" w:cs="Times New Roman"/>
          <w:color w:val="auto"/>
          <w:kern w:val="2"/>
          <w:sz w:val="32"/>
          <w:szCs w:val="32"/>
          <w:lang w:val="en-US" w:eastAsia="zh-CN" w:bidi="ar-SA"/>
        </w:rPr>
        <w:t>20</w:t>
      </w:r>
      <w:r>
        <w:rPr>
          <w:rFonts w:hint="eastAsia" w:ascii="方正仿宋_GBK" w:eastAsia="方正仿宋_GBK"/>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sz w:val="32"/>
          <w:szCs w:val="32"/>
        </w:rPr>
        <w:t>对在全国中小企业股份转让系统基础层挂牌的企业给予</w:t>
      </w:r>
      <w:r>
        <w:rPr>
          <w:rFonts w:hint="eastAsia" w:ascii="Times New Roman" w:hAnsi="Times New Roman" w:eastAsia="方正仿宋_GBK" w:cs="Times New Roman"/>
          <w:color w:val="auto"/>
          <w:kern w:val="2"/>
          <w:sz w:val="32"/>
          <w:szCs w:val="32"/>
          <w:lang w:val="en-US" w:eastAsia="zh-CN" w:bidi="ar-SA"/>
        </w:rPr>
        <w:t>50</w:t>
      </w:r>
      <w:r>
        <w:rPr>
          <w:rFonts w:hint="eastAsia" w:ascii="方正仿宋_GBK" w:eastAsia="方正仿宋_GBK"/>
          <w:sz w:val="32"/>
          <w:szCs w:val="32"/>
        </w:rPr>
        <w:t>万元奖补；对在全国中小企业股份转让系统创新层挂牌的企业给予</w:t>
      </w:r>
      <w:r>
        <w:rPr>
          <w:rFonts w:hint="eastAsia" w:ascii="Times New Roman" w:hAnsi="Times New Roman" w:eastAsia="方正仿宋_GBK" w:cs="Times New Roman"/>
          <w:color w:val="auto"/>
          <w:kern w:val="2"/>
          <w:sz w:val="32"/>
          <w:szCs w:val="32"/>
          <w:lang w:val="en-US" w:eastAsia="zh-CN" w:bidi="ar-SA"/>
        </w:rPr>
        <w:t>100</w:t>
      </w:r>
      <w:r>
        <w:rPr>
          <w:rFonts w:hint="eastAsia" w:ascii="方正仿宋_GBK" w:eastAsia="方正仿宋_GBK"/>
          <w:sz w:val="32"/>
          <w:szCs w:val="32"/>
        </w:rPr>
        <w:t>万元奖补；对从基础层调整到创新层的企业予以补差。</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sz w:val="32"/>
          <w:szCs w:val="32"/>
        </w:rPr>
      </w:pPr>
      <w:r>
        <w:rPr>
          <w:rFonts w:hint="eastAsia" w:ascii="方正仿宋_GBK" w:eastAsia="方正仿宋_GBK"/>
          <w:b/>
          <w:bCs/>
          <w:sz w:val="32"/>
          <w:szCs w:val="32"/>
        </w:rPr>
        <w:t>（二）对企业在北京证券交易所上市的，分阶段给予</w:t>
      </w:r>
      <w:r>
        <w:rPr>
          <w:rFonts w:hint="eastAsia" w:ascii="Times New Roman" w:hAnsi="Times New Roman" w:eastAsia="方正仿宋_GBK" w:cs="Times New Roman"/>
          <w:color w:val="auto"/>
          <w:kern w:val="2"/>
          <w:sz w:val="32"/>
          <w:szCs w:val="32"/>
          <w:lang w:val="en-US" w:eastAsia="zh-CN" w:bidi="ar-SA"/>
        </w:rPr>
        <w:t>1500</w:t>
      </w:r>
      <w:r>
        <w:rPr>
          <w:rFonts w:hint="eastAsia" w:ascii="方正仿宋_GBK" w:eastAsia="方正仿宋_GBK"/>
          <w:b/>
          <w:bCs/>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对与保荐机构、律师事务所和会计事务所均签署正式协议和约定书的企业，给予</w:t>
      </w:r>
      <w:r>
        <w:rPr>
          <w:rFonts w:hint="eastAsia" w:ascii="Times New Roman" w:hAnsi="Times New Roman" w:eastAsia="方正仿宋_GBK" w:cs="Times New Roman"/>
          <w:color w:val="auto"/>
          <w:kern w:val="2"/>
          <w:sz w:val="32"/>
          <w:szCs w:val="32"/>
          <w:lang w:val="en-US" w:eastAsia="zh-CN" w:bidi="ar-SA"/>
        </w:rPr>
        <w:t>2</w:t>
      </w:r>
      <w:r>
        <w:rPr>
          <w:rFonts w:hint="eastAsia" w:ascii="Times New Roman" w:hAnsi="Times New Roman" w:eastAsia="方正仿宋_GBK" w:cs="Times New Roman"/>
          <w:color w:val="auto"/>
          <w:kern w:val="2"/>
          <w:sz w:val="32"/>
          <w:szCs w:val="32"/>
          <w:lang w:val="en-US" w:eastAsia="zh-CN" w:bidi="ar-SA"/>
        </w:rPr>
        <w:t>0</w:t>
      </w:r>
      <w:r>
        <w:rPr>
          <w:rFonts w:hint="eastAsia" w:ascii="方正仿宋_GBK" w:eastAsia="方正仿宋_GBK"/>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sz w:val="32"/>
          <w:szCs w:val="32"/>
        </w:rPr>
        <w:t>对纳入上市辅导备案的企业，给予</w:t>
      </w:r>
      <w:r>
        <w:rPr>
          <w:rFonts w:hint="eastAsia" w:ascii="Times New Roman" w:hAnsi="Times New Roman" w:eastAsia="方正仿宋_GBK" w:cs="Times New Roman"/>
          <w:color w:val="auto"/>
          <w:kern w:val="2"/>
          <w:sz w:val="32"/>
          <w:szCs w:val="32"/>
          <w:lang w:val="en-US" w:eastAsia="zh-CN" w:bidi="ar-SA"/>
        </w:rPr>
        <w:t>30</w:t>
      </w:r>
      <w:r>
        <w:rPr>
          <w:rFonts w:hint="eastAsia" w:ascii="方正仿宋_GBK" w:eastAsia="方正仿宋_GBK"/>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3.</w:t>
      </w:r>
      <w:r>
        <w:rPr>
          <w:rFonts w:hint="eastAsia" w:ascii="方正仿宋_GBK" w:eastAsia="方正仿宋_GBK"/>
          <w:sz w:val="32"/>
          <w:szCs w:val="32"/>
        </w:rPr>
        <w:t>对上市申请被中国证监会（交易所）正式受理后的企业，给予</w:t>
      </w:r>
      <w:r>
        <w:rPr>
          <w:rFonts w:hint="eastAsia" w:ascii="Times New Roman" w:hAnsi="Times New Roman" w:eastAsia="方正仿宋_GBK" w:cs="Times New Roman"/>
          <w:color w:val="auto"/>
          <w:kern w:val="2"/>
          <w:sz w:val="32"/>
          <w:szCs w:val="32"/>
          <w:lang w:val="en-US" w:eastAsia="zh-CN" w:bidi="ar-SA"/>
        </w:rPr>
        <w:t>50</w:t>
      </w:r>
      <w:r>
        <w:rPr>
          <w:rFonts w:hint="eastAsia" w:ascii="方正仿宋_GBK" w:eastAsia="方正仿宋_GBK"/>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4.</w:t>
      </w:r>
      <w:r>
        <w:rPr>
          <w:rFonts w:hint="eastAsia" w:ascii="方正仿宋_GBK" w:eastAsia="方正仿宋_GBK"/>
          <w:sz w:val="32"/>
          <w:szCs w:val="32"/>
        </w:rPr>
        <w:t>对上市申请被证监会审核通过同意注册且开始公开发行的企业，给予</w:t>
      </w:r>
      <w:r>
        <w:rPr>
          <w:rFonts w:hint="eastAsia" w:ascii="Times New Roman" w:hAnsi="Times New Roman" w:eastAsia="方正仿宋_GBK" w:cs="Times New Roman"/>
          <w:color w:val="auto"/>
          <w:kern w:val="2"/>
          <w:sz w:val="32"/>
          <w:szCs w:val="32"/>
          <w:lang w:val="en-US" w:eastAsia="zh-CN" w:bidi="ar-SA"/>
        </w:rPr>
        <w:t>1400</w:t>
      </w:r>
      <w:r>
        <w:rPr>
          <w:rFonts w:hint="eastAsia" w:ascii="方正仿宋_GBK" w:eastAsia="方正仿宋_GBK"/>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（三）对企业在上海证券交易所、深圳证券交易所上市的，分阶段给予</w:t>
      </w:r>
      <w:r>
        <w:rPr>
          <w:rFonts w:hint="eastAsia" w:ascii="Times New Roman" w:hAnsi="Times New Roman" w:eastAsia="方正仿宋_GBK" w:cs="Times New Roman"/>
          <w:color w:val="auto"/>
          <w:kern w:val="2"/>
          <w:sz w:val="32"/>
          <w:szCs w:val="32"/>
          <w:lang w:val="en-US" w:eastAsia="zh-CN" w:bidi="ar-SA"/>
        </w:rPr>
        <w:t>2000</w:t>
      </w:r>
      <w:r>
        <w:rPr>
          <w:rFonts w:hint="eastAsia" w:ascii="方正仿宋_GBK" w:eastAsia="方正仿宋_GBK"/>
          <w:b/>
          <w:bCs/>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对与保荐机构、律师事务所和会计事务所均签署正式协议和约定书的企业，给予</w:t>
      </w:r>
      <w:r>
        <w:rPr>
          <w:rFonts w:hint="eastAsia" w:ascii="Times New Roman" w:hAnsi="Times New Roman" w:eastAsia="方正仿宋_GBK" w:cs="Times New Roman"/>
          <w:color w:val="auto"/>
          <w:kern w:val="2"/>
          <w:sz w:val="32"/>
          <w:szCs w:val="32"/>
          <w:lang w:val="en-US" w:eastAsia="zh-CN" w:bidi="ar-SA"/>
        </w:rPr>
        <w:t>20</w:t>
      </w:r>
      <w:r>
        <w:rPr>
          <w:rFonts w:hint="eastAsia" w:ascii="方正仿宋_GBK" w:eastAsia="方正仿宋_GBK"/>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sz w:val="32"/>
          <w:szCs w:val="32"/>
        </w:rPr>
        <w:t>对纳入上市辅导备案的企业，给予</w:t>
      </w:r>
      <w:r>
        <w:rPr>
          <w:rFonts w:hint="eastAsia" w:ascii="Times New Roman" w:hAnsi="Times New Roman" w:eastAsia="方正仿宋_GBK" w:cs="Times New Roman"/>
          <w:color w:val="auto"/>
          <w:kern w:val="2"/>
          <w:sz w:val="32"/>
          <w:szCs w:val="32"/>
          <w:lang w:val="en-US" w:eastAsia="zh-CN" w:bidi="ar-SA"/>
        </w:rPr>
        <w:t>30</w:t>
      </w:r>
      <w:r>
        <w:rPr>
          <w:rFonts w:hint="eastAsia" w:ascii="方正仿宋_GBK" w:eastAsia="方正仿宋_GBK"/>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3.</w:t>
      </w:r>
      <w:r>
        <w:rPr>
          <w:rFonts w:hint="eastAsia" w:ascii="方正仿宋_GBK" w:eastAsia="方正仿宋_GBK"/>
          <w:sz w:val="32"/>
          <w:szCs w:val="32"/>
        </w:rPr>
        <w:t>对上市申请被中国证监会（交易所）正式受理后的企业，给予</w:t>
      </w:r>
      <w:r>
        <w:rPr>
          <w:rFonts w:hint="eastAsia" w:ascii="Times New Roman" w:hAnsi="Times New Roman" w:eastAsia="方正仿宋_GBK" w:cs="Times New Roman"/>
          <w:color w:val="auto"/>
          <w:kern w:val="2"/>
          <w:sz w:val="32"/>
          <w:szCs w:val="32"/>
          <w:lang w:val="en-US" w:eastAsia="zh-CN" w:bidi="ar-SA"/>
        </w:rPr>
        <w:t>100</w:t>
      </w:r>
      <w:r>
        <w:rPr>
          <w:rFonts w:hint="eastAsia" w:ascii="方正仿宋_GBK" w:eastAsia="方正仿宋_GBK"/>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4.</w:t>
      </w:r>
      <w:r>
        <w:rPr>
          <w:rFonts w:hint="eastAsia" w:ascii="方正仿宋_GBK" w:eastAsia="方正仿宋_GBK"/>
          <w:sz w:val="32"/>
          <w:szCs w:val="32"/>
        </w:rPr>
        <w:t>对上市申请被证监会审核通过同意注册且开始公开发行的企业，给予</w:t>
      </w:r>
      <w:r>
        <w:rPr>
          <w:rFonts w:hint="eastAsia" w:ascii="Times New Roman" w:hAnsi="Times New Roman" w:eastAsia="方正仿宋_GBK" w:cs="Times New Roman"/>
          <w:color w:val="auto"/>
          <w:kern w:val="2"/>
          <w:sz w:val="32"/>
          <w:szCs w:val="32"/>
          <w:lang w:val="en-US" w:eastAsia="zh-CN" w:bidi="ar-SA"/>
        </w:rPr>
        <w:t>1850</w:t>
      </w:r>
      <w:r>
        <w:rPr>
          <w:rFonts w:hint="eastAsia" w:ascii="方正仿宋_GBK" w:eastAsia="方正仿宋_GBK"/>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sz w:val="32"/>
          <w:szCs w:val="32"/>
        </w:rPr>
      </w:pPr>
      <w:r>
        <w:rPr>
          <w:rFonts w:hint="eastAsia" w:ascii="方正仿宋_GBK" w:eastAsia="方正仿宋_GBK"/>
          <w:b/>
          <w:bCs/>
          <w:sz w:val="32"/>
          <w:szCs w:val="32"/>
        </w:rPr>
        <w:t>（四）</w:t>
      </w:r>
      <w:r>
        <w:rPr>
          <w:rFonts w:hint="eastAsia" w:ascii="方正仿宋_GBK" w:eastAsia="方正仿宋_GBK"/>
          <w:sz w:val="32"/>
          <w:szCs w:val="32"/>
        </w:rPr>
        <w:t>对在境外主要交易所（美国纽约证券交易所、纳斯达克交易所、英国伦敦交易所、日本东京交易所、香港联交所及新加坡交易所）上市的企业，成功上市后一次性给予</w:t>
      </w:r>
      <w:r>
        <w:rPr>
          <w:rFonts w:hint="eastAsia" w:ascii="Times New Roman" w:hAnsi="Times New Roman" w:eastAsia="方正仿宋_GBK" w:cs="Times New Roman"/>
          <w:color w:val="auto"/>
          <w:kern w:val="2"/>
          <w:sz w:val="32"/>
          <w:szCs w:val="32"/>
          <w:lang w:val="en-US" w:eastAsia="zh-CN" w:bidi="ar-SA"/>
        </w:rPr>
        <w:t>2000</w:t>
      </w:r>
      <w:r>
        <w:rPr>
          <w:rFonts w:hint="eastAsia" w:ascii="方正仿宋_GBK" w:eastAsia="方正仿宋_GBK"/>
          <w:sz w:val="32"/>
          <w:szCs w:val="32"/>
        </w:rPr>
        <w:t>万元奖补。</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sz w:val="32"/>
          <w:szCs w:val="32"/>
        </w:rPr>
      </w:pPr>
      <w:r>
        <w:rPr>
          <w:rFonts w:hint="eastAsia" w:ascii="方正仿宋_GBK" w:eastAsia="方正仿宋_GBK"/>
          <w:b/>
          <w:bCs/>
          <w:sz w:val="32"/>
          <w:szCs w:val="32"/>
        </w:rPr>
        <w:t>（五）</w:t>
      </w:r>
      <w:r>
        <w:rPr>
          <w:rFonts w:hint="eastAsia" w:ascii="方正仿宋_GBK" w:eastAsia="方正仿宋_GBK"/>
          <w:sz w:val="32"/>
          <w:szCs w:val="32"/>
        </w:rPr>
        <w:t>对重庆股份转让中心、全国中小企业股份转让系统挂牌企业转板至境内证券交易所上市的，或企业在境内上市后又赴境外证券交易所成功上市的，每户企业累计获得的奖补金额不超过</w:t>
      </w:r>
      <w:r>
        <w:rPr>
          <w:rFonts w:hint="eastAsia" w:ascii="Times New Roman" w:hAnsi="Times New Roman" w:eastAsia="方正仿宋_GBK" w:cs="Times New Roman"/>
          <w:color w:val="auto"/>
          <w:kern w:val="2"/>
          <w:sz w:val="32"/>
          <w:szCs w:val="32"/>
          <w:lang w:val="en-US" w:eastAsia="zh-CN" w:bidi="ar-SA"/>
        </w:rPr>
        <w:t>2000</w:t>
      </w:r>
      <w:r>
        <w:rPr>
          <w:rFonts w:hint="eastAsia" w:ascii="方正仿宋_GBK" w:eastAsia="方正仿宋_GBK"/>
          <w:sz w:val="32"/>
          <w:szCs w:val="32"/>
        </w:rPr>
        <w:t>万元。</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以上奖补政策适用于我区在境内外证券交易所上市，或在全国中小企业股份转让系统、重庆股份转让中心挂牌，符合财政奖补条件的企业，奖补政策实行分段计算，与我区招商引资和其他文件规定的上市扶持相关政策不重复享受。区内企业异地“买壳”“借壳”上市后，将上市主体迁回区内的，视为本地企业新上市，享受相应扶持政策。同时，区国资金融发展中心协助企业积极向市级相关部门争取市级相关扶持政策。</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二、奖补资金申报及拨付程序</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（一）企业上市、挂牌奖补申报材料。</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企业申报财政奖补材料需由申请单位加盖公章形成纸质件交区国资金融发展中心留存。</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企业申报重庆股份转让中心挂牌财政奖补的，须提供以下材料：申请文件，市场监督管理局出具的准予变更登记通知书、企业营业执照等复印件，重庆股份转让中心出具的挂牌备案确认函复印件，企业在银行开立的基本账户信息，要求的其他文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sz w:val="32"/>
          <w:szCs w:val="32"/>
        </w:rPr>
        <w:t>企业申报全国中小企业股份转让系统挂牌财政奖补的，须提供以下材料：申请文件，市场监督管理局出具的准予变更登记通知书、企业营业执照等复印件，全国中小企业股份转让系统出具的同意挂牌函复印件，企业在银行开立的基本账户信息，要求的其他文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3.</w:t>
      </w:r>
      <w:r>
        <w:rPr>
          <w:rFonts w:hint="eastAsia" w:ascii="方正仿宋_GBK" w:eastAsia="方正仿宋_GBK"/>
          <w:sz w:val="32"/>
          <w:szCs w:val="32"/>
        </w:rPr>
        <w:t>企业申报在境内证券交易所上市财政奖补的，可依据企业上市进展分阶段进行申报。其中：</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与保荐机构、律师事务所和会计事务所均签署IPO正式协议和约定书的，须提供以下材料：申请文件，企业营业执照复印件，与保荐机构、律师事务所和会计事务所签署的IPO正式协议和约定书复印件，企业在银行开立的基本账户信息，承诺书和要求的其他文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纳入上市辅导备案的，须提供以下材料：申请文件，企业营业执照复印件，企业在重庆证监局上市辅导备案的佐证材料，企业在银行开立的基本账户信息，承诺书和要求的其他文件。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上市申报材料被中国证监会或证券交易所正式受理的，须提供以下材料：申请文件，中国证监会行政许可申请受理佐证材料或者交易所受理佐证材料，企业在银行开立的基本账户信息，承诺书和要求的其他文件。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上市申请在中国证监会审核通过并取得IPO批文或交易所审核通过并取得中国证监会同意IPO注册的批复，且开始公开发行的，须提供以下材料：申请文件，中国证监会核发的IPO批文或中国证监会同意IPO注册批复的复印件，公开发行证明材料，企业在银行开立的基本账户信息，要求的其他文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企业申报在境外证券交易所上市财政奖补的，须提供以下材料：申请文件，企业营业执照复印件，企业在境外证券交易所上市的佐证材料，企业在银行开立的基本账户信息，要求的其他文件。</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rPr>
          <w:rFonts w:hint="eastAsia" w:ascii="方正仿宋_GBK" w:eastAsia="方正仿宋_GBK"/>
          <w:b/>
          <w:bCs/>
          <w:sz w:val="32"/>
          <w:szCs w:val="32"/>
        </w:rPr>
      </w:pPr>
      <w:r>
        <w:rPr>
          <w:rFonts w:hint="eastAsia" w:ascii="方正仿宋_GBK" w:eastAsia="方正仿宋_GBK"/>
          <w:b/>
          <w:bCs/>
          <w:sz w:val="32"/>
          <w:szCs w:val="32"/>
        </w:rPr>
        <w:t>（二）奖补资金的审核及拨付。</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符合条件的企业按要求准备相关申报资料提交区国资金融发展中心。区国资金融发展中心负责对企业上市、挂牌奖补资金申报资料进行审核，结合企业上市相关工作进展，将通过审核的企业征求区财政局意见后报区政府，经区政府同意后按程序拨付奖补资金。</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本通知自</w:t>
      </w:r>
      <w:r>
        <w:rPr>
          <w:rFonts w:hint="eastAsia" w:ascii="Times New Roman" w:hAnsi="Times New Roman" w:eastAsia="方正仿宋_GBK" w:cs="Times New Roman"/>
          <w:color w:val="auto"/>
          <w:kern w:val="2"/>
          <w:sz w:val="32"/>
          <w:szCs w:val="32"/>
          <w:lang w:val="en-US" w:eastAsia="zh-CN" w:bidi="ar-SA"/>
        </w:rPr>
        <w:t>2023</w:t>
      </w:r>
      <w:r>
        <w:rPr>
          <w:rFonts w:hint="eastAsia" w:ascii="方正仿宋_GBK" w:eastAsia="方正仿宋_GBK"/>
          <w:sz w:val="32"/>
          <w:szCs w:val="32"/>
        </w:rPr>
        <w:t>年</w:t>
      </w:r>
      <w:r>
        <w:rPr>
          <w:rFonts w:hint="eastAsia" w:ascii="Times New Roman" w:hAnsi="Times New Roman" w:eastAsia="方正仿宋_GBK" w:cs="Times New Roman"/>
          <w:color w:val="auto"/>
          <w:kern w:val="2"/>
          <w:sz w:val="32"/>
          <w:szCs w:val="32"/>
          <w:lang w:val="en-US" w:eastAsia="zh-CN" w:bidi="ar-SA"/>
        </w:rPr>
        <w:t>12</w:t>
      </w:r>
      <w:r>
        <w:rPr>
          <w:rFonts w:hint="eastAsia" w:ascii="方正仿宋_GBK" w:eastAsia="方正仿宋_GBK"/>
          <w:sz w:val="32"/>
          <w:szCs w:val="32"/>
        </w:rPr>
        <w:t>月</w:t>
      </w:r>
      <w:r>
        <w:rPr>
          <w:rFonts w:hint="eastAsia" w:ascii="Times New Roman" w:hAnsi="Times New Roman" w:eastAsia="方正仿宋_GBK" w:cs="Times New Roman"/>
          <w:color w:val="auto"/>
          <w:kern w:val="2"/>
          <w:sz w:val="32"/>
          <w:szCs w:val="32"/>
          <w:lang w:val="en-US" w:eastAsia="zh-CN" w:bidi="ar-SA"/>
        </w:rPr>
        <w:t>28</w:t>
      </w:r>
      <w:r>
        <w:rPr>
          <w:rFonts w:hint="eastAsia" w:ascii="方正仿宋_GBK" w:eastAsia="方正仿宋_GBK"/>
          <w:sz w:val="32"/>
          <w:szCs w:val="32"/>
        </w:rPr>
        <w:t>日起施行，区内其他政策文件规定与本通知不一致的，以本通知为准。</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附件：</w:t>
      </w:r>
      <w:r>
        <w:rPr>
          <w:rFonts w:hint="eastAsia" w:ascii="Times New Roman" w:hAnsi="Times New Roman" w:eastAsia="方正仿宋_GBK" w:cs="Times New Roman"/>
          <w:color w:val="auto"/>
          <w:kern w:val="2"/>
          <w:sz w:val="32"/>
          <w:szCs w:val="32"/>
          <w:lang w:val="en-US" w:eastAsia="zh-CN" w:bidi="ar-SA"/>
        </w:rPr>
        <w:t>1.</w:t>
      </w:r>
      <w:r>
        <w:rPr>
          <w:rFonts w:hint="eastAsia" w:ascii="方正仿宋_GBK" w:eastAsia="方正仿宋_GBK"/>
          <w:sz w:val="32"/>
          <w:szCs w:val="32"/>
        </w:rPr>
        <w:t>企业上市、挂牌奖补资金申报表</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hint="eastAsia" w:ascii="方正仿宋_GBK" w:eastAsia="方正仿宋_GBK"/>
          <w:sz w:val="32"/>
          <w:szCs w:val="32"/>
        </w:rPr>
      </w:pPr>
      <w:r>
        <w:rPr>
          <w:rFonts w:hint="eastAsia" w:ascii="Times New Roman" w:hAnsi="Times New Roman" w:eastAsia="方正仿宋_GBK" w:cs="Times New Roman"/>
          <w:color w:val="auto"/>
          <w:kern w:val="2"/>
          <w:sz w:val="32"/>
          <w:szCs w:val="32"/>
          <w:lang w:val="en-US" w:eastAsia="zh-CN" w:bidi="ar-SA"/>
        </w:rPr>
        <w:t>2.</w:t>
      </w:r>
      <w:r>
        <w:rPr>
          <w:rFonts w:hint="eastAsia" w:ascii="方正仿宋_GBK" w:eastAsia="方正仿宋_GBK"/>
          <w:sz w:val="32"/>
          <w:szCs w:val="32"/>
        </w:rPr>
        <w:t>企业在银行开立的基本账户信息</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 xml:space="preserve">                       重庆市南川区人民政府办公室</w:t>
      </w:r>
    </w:p>
    <w:p>
      <w:pPr>
        <w:pStyle w:val="2"/>
        <w:keepNext w:val="0"/>
        <w:keepLines w:val="0"/>
        <w:pageBreakBefore w:val="0"/>
        <w:widowControl w:val="0"/>
        <w:kinsoku/>
        <w:wordWrap w:val="0"/>
        <w:overflowPunct/>
        <w:topLinePunct w:val="0"/>
        <w:autoSpaceDE/>
        <w:autoSpaceDN/>
        <w:bidi w:val="0"/>
        <w:adjustRightInd/>
        <w:snapToGrid w:val="0"/>
        <w:spacing w:line="600" w:lineRule="exact"/>
        <w:ind w:firstLine="640" w:firstLineChars="200"/>
        <w:jc w:val="right"/>
        <w:textAlignment w:val="auto"/>
        <w:rPr>
          <w:rFonts w:hint="default" w:ascii="方正仿宋_GBK" w:eastAsia="方正仿宋_GBK"/>
          <w:sz w:val="32"/>
          <w:szCs w:val="32"/>
          <w:lang w:val="en-US" w:eastAsia="zh-CN"/>
        </w:rPr>
      </w:pPr>
      <w:r>
        <w:rPr>
          <w:rFonts w:hint="eastAsia" w:ascii="Times New Roman" w:hAnsi="Times New Roman" w:eastAsia="方正仿宋_GBK" w:cs="Times New Roman"/>
          <w:color w:val="auto"/>
          <w:kern w:val="2"/>
          <w:sz w:val="32"/>
          <w:szCs w:val="32"/>
          <w:lang w:val="en-US" w:eastAsia="zh-CN" w:bidi="ar-SA"/>
        </w:rPr>
        <w:t>2023</w:t>
      </w:r>
      <w:r>
        <w:rPr>
          <w:rFonts w:hint="eastAsia" w:ascii="方正仿宋_GBK" w:eastAsia="方正仿宋_GBK"/>
          <w:sz w:val="32"/>
          <w:szCs w:val="32"/>
        </w:rPr>
        <w:t>年</w:t>
      </w:r>
      <w:r>
        <w:rPr>
          <w:rFonts w:hint="eastAsia" w:ascii="Times New Roman" w:hAnsi="Times New Roman" w:eastAsia="方正仿宋_GBK" w:cs="Times New Roman"/>
          <w:color w:val="auto"/>
          <w:kern w:val="2"/>
          <w:sz w:val="32"/>
          <w:szCs w:val="32"/>
          <w:lang w:val="en-US" w:eastAsia="zh-CN" w:bidi="ar-SA"/>
        </w:rPr>
        <w:t>11</w:t>
      </w:r>
      <w:r>
        <w:rPr>
          <w:rFonts w:hint="eastAsia" w:ascii="方正仿宋_GBK" w:eastAsia="方正仿宋_GBK"/>
          <w:sz w:val="32"/>
          <w:szCs w:val="32"/>
        </w:rPr>
        <w:t>月</w:t>
      </w:r>
      <w:bookmarkStart w:id="0" w:name="_GoBack"/>
      <w:r>
        <w:rPr>
          <w:rFonts w:hint="eastAsia" w:ascii="Times New Roman" w:hAnsi="Times New Roman" w:eastAsia="方正仿宋_GBK" w:cs="Times New Roman"/>
          <w:color w:val="auto"/>
          <w:kern w:val="2"/>
          <w:sz w:val="32"/>
          <w:szCs w:val="32"/>
          <w:lang w:val="en-US" w:eastAsia="zh-CN" w:bidi="ar-SA"/>
        </w:rPr>
        <w:t>28</w:t>
      </w:r>
      <w:bookmarkEnd w:id="0"/>
      <w:r>
        <w:rPr>
          <w:rFonts w:hint="eastAsia" w:ascii="方正仿宋_GBK" w:eastAsia="方正仿宋_GBK"/>
          <w:sz w:val="32"/>
          <w:szCs w:val="32"/>
        </w:rPr>
        <w:t>日</w:t>
      </w:r>
      <w:r>
        <w:rPr>
          <w:rFonts w:hint="eastAsia" w:ascii="方正仿宋_GBK"/>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（此件公开发布）</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p>
      <w:pPr>
        <w:pStyle w:val="2"/>
        <w:keepNext w:val="0"/>
        <w:keepLines w:val="0"/>
        <w:pageBreakBefore w:val="0"/>
        <w:kinsoku/>
        <w:wordWrap/>
        <w:overflowPunct/>
        <w:topLinePunct w:val="0"/>
        <w:autoSpaceDE/>
        <w:autoSpaceDN/>
        <w:bidi w:val="0"/>
        <w:adjustRightInd/>
        <w:spacing w:line="240" w:lineRule="auto"/>
        <w:textAlignment w:val="auto"/>
        <w:rPr>
          <w:rFonts w:hint="eastAsia" w:ascii="方正仿宋_GBK" w:eastAsia="方正仿宋_GBK"/>
          <w:sz w:val="32"/>
          <w:szCs w:val="32"/>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方正黑体_GBK" w:hAnsi="方正黑体_GBK" w:eastAsia="方正黑体_GBK" w:cs="方正黑体_GBK"/>
          <w:spacing w:val="-19"/>
          <w:kern w:val="2"/>
          <w:sz w:val="32"/>
          <w:szCs w:val="32"/>
          <w:lang w:val="en-US" w:eastAsia="zh-CN" w:bidi="ar"/>
        </w:rPr>
      </w:pPr>
    </w:p>
    <w:p>
      <w:pPr>
        <w:pStyle w:val="2"/>
        <w:rPr>
          <w:rFonts w:hint="eastAsia"/>
          <w:lang w:val="en-US" w:eastAsia="zh-CN"/>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方正黑体_GBK" w:hAnsi="方正黑体_GBK" w:eastAsia="方正黑体_GBK" w:cs="方正黑体_GBK"/>
          <w:spacing w:val="-17"/>
          <w:kern w:val="2"/>
          <w:sz w:val="32"/>
          <w:szCs w:val="32"/>
        </w:rPr>
      </w:pPr>
      <w:r>
        <w:rPr>
          <w:rFonts w:hint="eastAsia" w:ascii="方正黑体_GBK" w:hAnsi="方正黑体_GBK" w:eastAsia="方正黑体_GBK" w:cs="方正黑体_GBK"/>
          <w:spacing w:val="-19"/>
          <w:kern w:val="2"/>
          <w:sz w:val="32"/>
          <w:szCs w:val="32"/>
          <w:lang w:val="en-US" w:eastAsia="zh-CN" w:bidi="ar"/>
        </w:rPr>
        <w:t>附</w:t>
      </w:r>
      <w:r>
        <w:rPr>
          <w:rFonts w:hint="eastAsia" w:ascii="方正黑体_GBK" w:hAnsi="方正黑体_GBK" w:eastAsia="方正黑体_GBK" w:cs="方正黑体_GBK"/>
          <w:spacing w:val="-17"/>
          <w:kern w:val="2"/>
          <w:sz w:val="32"/>
          <w:szCs w:val="32"/>
          <w:lang w:val="en-US" w:eastAsia="zh-CN" w:bidi="ar"/>
        </w:rPr>
        <w:t>件1</w:t>
      </w:r>
    </w:p>
    <w:p>
      <w:pPr>
        <w:pStyle w:val="3"/>
        <w:keepNext w:val="0"/>
        <w:keepLines w:val="0"/>
        <w:widowControl/>
        <w:suppressLineNumbers w:val="0"/>
        <w:autoSpaceDE w:val="0"/>
        <w:autoSpaceDN/>
        <w:spacing w:before="0" w:beforeAutospacing="0" w:after="0" w:afterAutospacing="0" w:line="560" w:lineRule="exact"/>
        <w:rPr>
          <w:rFonts w:hint="eastAsia" w:ascii="宋体" w:hAnsi="宋体" w:eastAsia="方正仿宋_GBK" w:cs="宋体"/>
          <w:b/>
          <w:bCs/>
          <w:kern w:val="36"/>
          <w:sz w:val="48"/>
          <w:szCs w:val="48"/>
        </w:rPr>
      </w:pPr>
      <w:r>
        <w:rPr>
          <w:rFonts w:hint="eastAsia" w:ascii="宋体" w:hAnsi="宋体" w:eastAsia="方正仿宋_GBK" w:cs="宋体"/>
          <w:b/>
          <w:bCs/>
          <w:kern w:val="36"/>
          <w:sz w:val="48"/>
          <w:szCs w:val="48"/>
        </w:rPr>
        <w:t xml:space="preserve"> </w:t>
      </w:r>
    </w:p>
    <w:p>
      <w:pPr>
        <w:keepNext w:val="0"/>
        <w:keepLines w:val="0"/>
        <w:widowControl w:val="0"/>
        <w:suppressLineNumbers w:val="0"/>
        <w:autoSpaceDE w:val="0"/>
        <w:autoSpaceDN/>
        <w:spacing w:before="0" w:beforeAutospacing="0" w:after="292" w:afterLines="50" w:afterAutospacing="0" w:line="560" w:lineRule="exact"/>
        <w:ind w:left="1672" w:right="0"/>
        <w:jc w:val="both"/>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spacing w:val="16"/>
          <w:kern w:val="2"/>
          <w:sz w:val="44"/>
          <w:szCs w:val="44"/>
          <w:lang w:val="en-US" w:eastAsia="zh-CN" w:bidi="ar"/>
        </w:rPr>
        <w:t>企</w:t>
      </w:r>
      <w:r>
        <w:rPr>
          <w:rFonts w:hint="eastAsia" w:ascii="方正小标宋_GBK" w:hAnsi="方正小标宋_GBK" w:eastAsia="方正小标宋_GBK" w:cs="方正小标宋_GBK"/>
          <w:spacing w:val="9"/>
          <w:kern w:val="2"/>
          <w:sz w:val="44"/>
          <w:szCs w:val="44"/>
          <w:lang w:val="en-US" w:eastAsia="zh-CN" w:bidi="ar"/>
        </w:rPr>
        <w:t>业上市、挂牌奖补资金申报表</w:t>
      </w:r>
    </w:p>
    <w:p>
      <w:pPr>
        <w:keepNext w:val="0"/>
        <w:keepLines w:val="0"/>
        <w:widowControl w:val="0"/>
        <w:suppressLineNumbers w:val="0"/>
        <w:autoSpaceDE w:val="0"/>
        <w:autoSpaceDN/>
        <w:spacing w:before="0" w:beforeAutospacing="0" w:after="292" w:afterLines="50" w:afterAutospacing="0" w:line="560" w:lineRule="exact"/>
        <w:ind w:left="0" w:right="0" w:firstLine="260" w:firstLineChars="10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10"/>
          <w:kern w:val="2"/>
          <w:sz w:val="24"/>
          <w:szCs w:val="24"/>
          <w:lang w:val="en-US" w:eastAsia="zh-CN" w:bidi="ar"/>
        </w:rPr>
        <w:t xml:space="preserve">申报单位(盖章):   </w:t>
      </w:r>
      <w:r>
        <w:rPr>
          <w:rFonts w:hint="eastAsia" w:ascii="方正仿宋_GBK" w:hAnsi="方正仿宋_GBK" w:eastAsia="方正仿宋_GBK" w:cs="方正仿宋_GBK"/>
          <w:spacing w:val="5"/>
          <w:kern w:val="2"/>
          <w:sz w:val="24"/>
          <w:szCs w:val="24"/>
          <w:lang w:val="en-US" w:eastAsia="zh-CN" w:bidi="ar"/>
        </w:rPr>
        <w:t xml:space="preserve">         </w:t>
      </w:r>
      <w:r>
        <w:rPr>
          <w:rFonts w:hint="eastAsia" w:ascii="Times New Roman" w:hAnsi="方正仿宋_GBK" w:eastAsia="方正仿宋_GBK" w:cs="方正仿宋_GBK"/>
          <w:spacing w:val="5"/>
          <w:kern w:val="2"/>
          <w:sz w:val="24"/>
          <w:szCs w:val="24"/>
          <w:lang w:val="en-US" w:eastAsia="zh-CN" w:bidi="ar"/>
        </w:rPr>
        <w:t xml:space="preserve">    </w:t>
      </w:r>
      <w:r>
        <w:rPr>
          <w:rFonts w:hint="eastAsia" w:ascii="方正仿宋_GBK" w:hAnsi="方正仿宋_GBK" w:eastAsia="方正仿宋_GBK" w:cs="方正仿宋_GBK"/>
          <w:spacing w:val="5"/>
          <w:kern w:val="2"/>
          <w:sz w:val="24"/>
          <w:szCs w:val="24"/>
          <w:lang w:val="en-US" w:eastAsia="zh-CN" w:bidi="ar"/>
        </w:rPr>
        <w:t xml:space="preserve">  </w:t>
      </w:r>
      <w:r>
        <w:rPr>
          <w:rFonts w:hint="eastAsia" w:ascii="Times New Roman" w:hAnsi="方正仿宋_GBK" w:eastAsia="方正仿宋_GBK" w:cs="方正仿宋_GBK"/>
          <w:spacing w:val="5"/>
          <w:kern w:val="2"/>
          <w:sz w:val="24"/>
          <w:szCs w:val="24"/>
          <w:lang w:val="en-US" w:eastAsia="zh-CN" w:bidi="ar"/>
        </w:rPr>
        <w:t xml:space="preserve"> </w:t>
      </w:r>
      <w:r>
        <w:rPr>
          <w:rFonts w:hint="eastAsia" w:ascii="方正仿宋_GBK" w:hAnsi="方正仿宋_GBK" w:eastAsia="方正仿宋_GBK" w:cs="方正仿宋_GBK"/>
          <w:spacing w:val="5"/>
          <w:kern w:val="2"/>
          <w:sz w:val="24"/>
          <w:szCs w:val="24"/>
          <w:lang w:val="en-US" w:eastAsia="zh-CN" w:bidi="ar"/>
        </w:rPr>
        <w:t xml:space="preserve"> 申报时间:       年     月    日</w:t>
      </w:r>
    </w:p>
    <w:tbl>
      <w:tblPr>
        <w:tblStyle w:val="11"/>
        <w:tblW w:w="90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633"/>
        <w:gridCol w:w="1681"/>
        <w:gridCol w:w="112"/>
        <w:gridCol w:w="1932"/>
        <w:gridCol w:w="1740"/>
        <w:gridCol w:w="29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651" w:hRule="atLeast"/>
          <w:jc w:val="center"/>
        </w:trPr>
        <w:tc>
          <w:tcPr>
            <w:tcW w:w="633" w:type="dxa"/>
            <w:vMerge w:val="restart"/>
            <w:tcBorders>
              <w:top w:val="single" w:color="auto" w:sz="2" w:space="0"/>
              <w:left w:val="single" w:color="auto" w:sz="2" w:space="0"/>
              <w:bottom w:val="nil"/>
              <w:right w:val="single" w:color="auto" w:sz="2" w:space="0"/>
            </w:tcBorders>
            <w:shd w:val="clear" w:color="auto" w:fill="auto"/>
            <w:vAlign w:val="top"/>
          </w:tcPr>
          <w:p>
            <w:pPr>
              <w:keepNext w:val="0"/>
              <w:keepLines w:val="0"/>
              <w:widowControl w:val="0"/>
              <w:suppressLineNumbers w:val="0"/>
              <w:autoSpaceDE w:val="0"/>
              <w:autoSpaceDN/>
              <w:spacing w:before="0" w:beforeAutospacing="0" w:after="292" w:afterLines="50" w:afterAutospacing="0" w:line="520" w:lineRule="exact"/>
              <w:ind w:left="369"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6"/>
                <w:kern w:val="2"/>
                <w:sz w:val="24"/>
                <w:szCs w:val="24"/>
                <w:lang w:val="en-US" w:eastAsia="zh-CN" w:bidi="ar"/>
              </w:rPr>
              <w:t>企 业 信 息</w:t>
            </w:r>
          </w:p>
        </w:tc>
        <w:tc>
          <w:tcPr>
            <w:tcW w:w="168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213"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4"/>
                <w:kern w:val="2"/>
                <w:sz w:val="24"/>
                <w:szCs w:val="24"/>
                <w:lang w:val="en-US" w:eastAsia="zh-CN" w:bidi="ar"/>
              </w:rPr>
              <w:t>企业名称</w:t>
            </w:r>
          </w:p>
        </w:tc>
        <w:tc>
          <w:tcPr>
            <w:tcW w:w="2044" w:type="dxa"/>
            <w:gridSpan w:val="2"/>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c>
          <w:tcPr>
            <w:tcW w:w="1740"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64"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7"/>
                <w:kern w:val="2"/>
                <w:sz w:val="24"/>
                <w:szCs w:val="24"/>
                <w:lang w:val="en-US" w:eastAsia="zh-CN" w:bidi="ar"/>
              </w:rPr>
              <w:t>统</w:t>
            </w:r>
            <w:r>
              <w:rPr>
                <w:rFonts w:hint="eastAsia" w:ascii="方正仿宋_GBK" w:hAnsi="方正仿宋_GBK" w:eastAsia="方正仿宋_GBK" w:cs="方正仿宋_GBK"/>
                <w:spacing w:val="-4"/>
                <w:kern w:val="2"/>
                <w:sz w:val="24"/>
                <w:szCs w:val="24"/>
                <w:lang w:val="en-US" w:eastAsia="zh-CN" w:bidi="ar"/>
              </w:rPr>
              <w:t>一社会</w:t>
            </w:r>
          </w:p>
          <w:p>
            <w:pPr>
              <w:keepNext w:val="0"/>
              <w:keepLines w:val="0"/>
              <w:widowControl w:val="0"/>
              <w:suppressLineNumbers w:val="0"/>
              <w:spacing w:before="1"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6"/>
                <w:kern w:val="2"/>
                <w:sz w:val="24"/>
                <w:szCs w:val="24"/>
                <w:lang w:val="en-US" w:eastAsia="zh-CN" w:bidi="ar"/>
              </w:rPr>
              <w:t>信</w:t>
            </w:r>
            <w:r>
              <w:rPr>
                <w:rFonts w:hint="eastAsia" w:ascii="方正仿宋_GBK" w:hAnsi="方正仿宋_GBK" w:eastAsia="方正仿宋_GBK" w:cs="方正仿宋_GBK"/>
                <w:spacing w:val="-4"/>
                <w:kern w:val="2"/>
                <w:sz w:val="24"/>
                <w:szCs w:val="24"/>
                <w:lang w:val="en-US" w:eastAsia="zh-CN" w:bidi="ar"/>
              </w:rPr>
              <w:t>用</w:t>
            </w:r>
            <w:r>
              <w:rPr>
                <w:rFonts w:hint="eastAsia" w:ascii="方正仿宋_GBK" w:hAnsi="方正仿宋_GBK" w:eastAsia="方正仿宋_GBK" w:cs="方正仿宋_GBK"/>
                <w:spacing w:val="-3"/>
                <w:kern w:val="2"/>
                <w:sz w:val="24"/>
                <w:szCs w:val="24"/>
                <w:lang w:val="en-US" w:eastAsia="zh-CN" w:bidi="ar"/>
              </w:rPr>
              <w:t>代码</w:t>
            </w:r>
          </w:p>
        </w:tc>
        <w:tc>
          <w:tcPr>
            <w:tcW w:w="2980"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7" w:hRule="atLeast"/>
          <w:jc w:val="center"/>
        </w:trPr>
        <w:tc>
          <w:tcPr>
            <w:tcW w:w="633" w:type="dxa"/>
            <w:vMerge w:val="continue"/>
            <w:tcBorders>
              <w:top w:val="single" w:color="auto" w:sz="2" w:space="0"/>
              <w:left w:val="single" w:color="auto" w:sz="2" w:space="0"/>
              <w:bottom w:val="nil"/>
              <w:right w:val="single" w:color="auto"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208"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5"/>
                <w:kern w:val="2"/>
                <w:sz w:val="24"/>
                <w:szCs w:val="24"/>
                <w:lang w:val="en-US" w:eastAsia="zh-CN" w:bidi="ar"/>
              </w:rPr>
              <w:t>注</w:t>
            </w:r>
            <w:r>
              <w:rPr>
                <w:rFonts w:hint="eastAsia" w:ascii="方正仿宋_GBK" w:hAnsi="方正仿宋_GBK" w:eastAsia="方正仿宋_GBK" w:cs="方正仿宋_GBK"/>
                <w:spacing w:val="-4"/>
                <w:kern w:val="2"/>
                <w:sz w:val="24"/>
                <w:szCs w:val="24"/>
                <w:lang w:val="en-US" w:eastAsia="zh-CN" w:bidi="ar"/>
              </w:rPr>
              <w:t>册时间</w:t>
            </w:r>
          </w:p>
        </w:tc>
        <w:tc>
          <w:tcPr>
            <w:tcW w:w="2044" w:type="dxa"/>
            <w:gridSpan w:val="2"/>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c>
          <w:tcPr>
            <w:tcW w:w="1740"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56"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5"/>
                <w:kern w:val="2"/>
                <w:sz w:val="24"/>
                <w:szCs w:val="24"/>
                <w:lang w:val="en-US" w:eastAsia="zh-CN" w:bidi="ar"/>
              </w:rPr>
              <w:t>注</w:t>
            </w:r>
            <w:r>
              <w:rPr>
                <w:rFonts w:hint="eastAsia" w:ascii="方正仿宋_GBK" w:hAnsi="方正仿宋_GBK" w:eastAsia="方正仿宋_GBK" w:cs="方正仿宋_GBK"/>
                <w:spacing w:val="-4"/>
                <w:kern w:val="2"/>
                <w:sz w:val="24"/>
                <w:szCs w:val="24"/>
                <w:lang w:val="en-US" w:eastAsia="zh-CN" w:bidi="ar"/>
              </w:rPr>
              <w:t>册资本</w:t>
            </w:r>
          </w:p>
          <w:p>
            <w:pPr>
              <w:keepNext w:val="0"/>
              <w:keepLines w:val="0"/>
              <w:widowControl w:val="0"/>
              <w:suppressLineNumbers w:val="0"/>
              <w:spacing w:before="1"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30"/>
                <w:kern w:val="2"/>
                <w:sz w:val="24"/>
                <w:szCs w:val="24"/>
                <w:lang w:val="en-US" w:eastAsia="zh-CN" w:bidi="ar"/>
              </w:rPr>
              <w:t>(</w:t>
            </w:r>
            <w:r>
              <w:rPr>
                <w:rFonts w:hint="eastAsia" w:ascii="方正仿宋_GBK" w:hAnsi="方正仿宋_GBK" w:eastAsia="方正仿宋_GBK" w:cs="方正仿宋_GBK"/>
                <w:spacing w:val="27"/>
                <w:kern w:val="2"/>
                <w:sz w:val="24"/>
                <w:szCs w:val="24"/>
                <w:lang w:val="en-US" w:eastAsia="zh-CN" w:bidi="ar"/>
              </w:rPr>
              <w:t>万元)</w:t>
            </w:r>
          </w:p>
        </w:tc>
        <w:tc>
          <w:tcPr>
            <w:tcW w:w="2980"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633" w:type="dxa"/>
            <w:vMerge w:val="continue"/>
            <w:tcBorders>
              <w:top w:val="single" w:color="auto" w:sz="2" w:space="0"/>
              <w:left w:val="single" w:color="auto" w:sz="2" w:space="0"/>
              <w:bottom w:val="nil"/>
              <w:right w:val="single" w:color="auto" w:sz="2" w:space="0"/>
            </w:tcBorders>
            <w:shd w:val="clear" w:color="auto" w:fill="auto"/>
            <w:vAlign w:val="top"/>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68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171"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5"/>
                <w:kern w:val="2"/>
                <w:sz w:val="24"/>
                <w:szCs w:val="24"/>
                <w:lang w:val="en-US" w:eastAsia="zh-CN" w:bidi="ar"/>
              </w:rPr>
              <w:t>注</w:t>
            </w:r>
            <w:r>
              <w:rPr>
                <w:rFonts w:hint="eastAsia" w:ascii="方正仿宋_GBK" w:hAnsi="方正仿宋_GBK" w:eastAsia="方正仿宋_GBK" w:cs="方正仿宋_GBK"/>
                <w:spacing w:val="-4"/>
                <w:kern w:val="2"/>
                <w:sz w:val="24"/>
                <w:szCs w:val="24"/>
                <w:lang w:val="en-US" w:eastAsia="zh-CN" w:bidi="ar"/>
              </w:rPr>
              <w:t>册地址</w:t>
            </w:r>
          </w:p>
        </w:tc>
        <w:tc>
          <w:tcPr>
            <w:tcW w:w="6764" w:type="dxa"/>
            <w:gridSpan w:val="4"/>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6" w:hRule="atLeast"/>
          <w:jc w:val="center"/>
        </w:trPr>
        <w:tc>
          <w:tcPr>
            <w:tcW w:w="231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159"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13"/>
                <w:kern w:val="2"/>
                <w:sz w:val="24"/>
                <w:szCs w:val="24"/>
                <w:lang w:val="en-US" w:eastAsia="zh-CN" w:bidi="ar"/>
              </w:rPr>
              <w:t>上</w:t>
            </w:r>
            <w:r>
              <w:rPr>
                <w:rFonts w:hint="eastAsia" w:ascii="方正仿宋_GBK" w:hAnsi="方正仿宋_GBK" w:eastAsia="方正仿宋_GBK" w:cs="方正仿宋_GBK"/>
                <w:spacing w:val="-7"/>
                <w:kern w:val="2"/>
                <w:sz w:val="24"/>
                <w:szCs w:val="24"/>
                <w:lang w:val="en-US" w:eastAsia="zh-CN" w:bidi="ar"/>
              </w:rPr>
              <w:t>市/挂牌板块</w:t>
            </w:r>
          </w:p>
        </w:tc>
        <w:tc>
          <w:tcPr>
            <w:tcW w:w="2044" w:type="dxa"/>
            <w:gridSpan w:val="2"/>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c>
          <w:tcPr>
            <w:tcW w:w="1740"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159"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13"/>
                <w:kern w:val="2"/>
                <w:sz w:val="24"/>
                <w:szCs w:val="24"/>
                <w:lang w:val="en-US" w:eastAsia="zh-CN" w:bidi="ar"/>
              </w:rPr>
              <w:t>上</w:t>
            </w:r>
            <w:r>
              <w:rPr>
                <w:rFonts w:hint="eastAsia" w:ascii="方正仿宋_GBK" w:hAnsi="方正仿宋_GBK" w:eastAsia="方正仿宋_GBK" w:cs="方正仿宋_GBK"/>
                <w:spacing w:val="-7"/>
                <w:kern w:val="2"/>
                <w:sz w:val="24"/>
                <w:szCs w:val="24"/>
                <w:lang w:val="en-US" w:eastAsia="zh-CN" w:bidi="ar"/>
              </w:rPr>
              <w:t>市/挂牌时间</w:t>
            </w:r>
          </w:p>
        </w:tc>
        <w:tc>
          <w:tcPr>
            <w:tcW w:w="2980"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2" w:hRule="atLeast"/>
          <w:jc w:val="center"/>
        </w:trPr>
        <w:tc>
          <w:tcPr>
            <w:tcW w:w="2314" w:type="dxa"/>
            <w:gridSpan w:val="2"/>
            <w:tcBorders>
              <w:top w:val="single" w:color="auto" w:sz="2" w:space="0"/>
              <w:left w:val="single" w:color="auto" w:sz="2" w:space="0"/>
              <w:bottom w:val="single" w:color="auto" w:sz="2" w:space="0"/>
              <w:right w:val="single" w:color="auto" w:sz="2" w:space="0"/>
            </w:tcBorders>
            <w:shd w:val="clear" w:color="auto" w:fill="auto"/>
            <w:vAlign w:val="center"/>
          </w:tcPr>
          <w:p>
            <w:pPr>
              <w:keepNext w:val="0"/>
              <w:keepLines w:val="0"/>
              <w:widowControl w:val="0"/>
              <w:suppressLineNumbers w:val="0"/>
              <w:spacing w:before="92"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16"/>
                <w:kern w:val="2"/>
                <w:sz w:val="24"/>
                <w:szCs w:val="24"/>
                <w:lang w:val="en-US" w:eastAsia="zh-CN" w:bidi="ar"/>
              </w:rPr>
              <w:t>申</w:t>
            </w:r>
            <w:r>
              <w:rPr>
                <w:rFonts w:hint="eastAsia" w:ascii="方正仿宋_GBK" w:hAnsi="方正仿宋_GBK" w:eastAsia="方正仿宋_GBK" w:cs="方正仿宋_GBK"/>
                <w:spacing w:val="-9"/>
                <w:kern w:val="2"/>
                <w:sz w:val="24"/>
                <w:szCs w:val="24"/>
                <w:lang w:val="en-US" w:eastAsia="zh-CN" w:bidi="ar"/>
              </w:rPr>
              <w:t>请上市/挂牌奖励</w:t>
            </w:r>
          </w:p>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21"/>
                <w:kern w:val="2"/>
                <w:sz w:val="24"/>
                <w:szCs w:val="24"/>
                <w:lang w:val="en-US" w:eastAsia="zh-CN" w:bidi="ar"/>
              </w:rPr>
              <w:t>金</w:t>
            </w:r>
            <w:r>
              <w:rPr>
                <w:rFonts w:hint="eastAsia" w:ascii="方正仿宋_GBK" w:hAnsi="方正仿宋_GBK" w:eastAsia="方正仿宋_GBK" w:cs="方正仿宋_GBK"/>
                <w:spacing w:val="20"/>
                <w:kern w:val="2"/>
                <w:sz w:val="24"/>
                <w:szCs w:val="24"/>
                <w:lang w:val="en-US" w:eastAsia="zh-CN" w:bidi="ar"/>
              </w:rPr>
              <w:t>额(万元)</w:t>
            </w:r>
          </w:p>
        </w:tc>
        <w:tc>
          <w:tcPr>
            <w:tcW w:w="6764" w:type="dxa"/>
            <w:gridSpan w:val="4"/>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方正仿宋_GBK" w:hAnsi="方正仿宋_GBK" w:eastAsia="方正仿宋_GBK" w:cs="方正仿宋_GBK"/>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jc w:val="center"/>
        </w:trPr>
        <w:tc>
          <w:tcPr>
            <w:tcW w:w="9078" w:type="dxa"/>
            <w:gridSpan w:val="6"/>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pacing w:before="34" w:beforeAutospacing="0" w:after="0" w:afterAutospacing="0"/>
              <w:ind w:left="119"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36"/>
                <w:kern w:val="2"/>
                <w:sz w:val="24"/>
                <w:szCs w:val="24"/>
                <w:lang w:val="en-US" w:eastAsia="zh-CN" w:bidi="ar"/>
              </w:rPr>
              <w:t>政</w:t>
            </w:r>
            <w:r>
              <w:rPr>
                <w:rFonts w:hint="eastAsia" w:ascii="方正仿宋_GBK" w:hAnsi="方正仿宋_GBK" w:eastAsia="方正仿宋_GBK" w:cs="方正仿宋_GBK"/>
                <w:spacing w:val="33"/>
                <w:kern w:val="2"/>
                <w:sz w:val="24"/>
                <w:szCs w:val="24"/>
                <w:lang w:val="en-US" w:eastAsia="zh-CN" w:bidi="ar"/>
              </w:rPr>
              <w:t>策依据:</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95" w:hRule="atLeast"/>
          <w:jc w:val="center"/>
        </w:trPr>
        <w:tc>
          <w:tcPr>
            <w:tcW w:w="9078" w:type="dxa"/>
            <w:gridSpan w:val="6"/>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pacing w:before="174" w:beforeAutospacing="0" w:after="0" w:afterAutospacing="0"/>
              <w:ind w:left="122" w:right="13" w:hanging="1"/>
              <w:jc w:val="both"/>
              <w:rPr>
                <w:rFonts w:hint="eastAsia" w:ascii="方正仿宋_GBK" w:hAnsi="方正仿宋_GBK" w:eastAsia="方正仿宋_GBK" w:cs="方正仿宋_GBK"/>
                <w:spacing w:val="4"/>
                <w:kern w:val="2"/>
                <w:sz w:val="24"/>
                <w:szCs w:val="24"/>
              </w:rPr>
            </w:pPr>
            <w:r>
              <w:rPr>
                <w:rFonts w:hint="eastAsia" w:ascii="方正仿宋_GBK" w:hAnsi="方正仿宋_GBK" w:eastAsia="方正仿宋_GBK" w:cs="方正仿宋_GBK"/>
                <w:spacing w:val="18"/>
                <w:kern w:val="2"/>
                <w:sz w:val="24"/>
                <w:szCs w:val="24"/>
                <w:lang w:val="en-US" w:eastAsia="zh-CN" w:bidi="ar"/>
              </w:rPr>
              <w:t>企业</w:t>
            </w:r>
            <w:r>
              <w:rPr>
                <w:rFonts w:hint="eastAsia" w:ascii="方正仿宋_GBK" w:hAnsi="方正仿宋_GBK" w:eastAsia="方正仿宋_GBK" w:cs="方正仿宋_GBK"/>
                <w:spacing w:val="10"/>
                <w:kern w:val="2"/>
                <w:sz w:val="24"/>
                <w:szCs w:val="24"/>
                <w:lang w:val="en-US" w:eastAsia="zh-CN" w:bidi="ar"/>
              </w:rPr>
              <w:t>承</w:t>
            </w:r>
            <w:r>
              <w:rPr>
                <w:rFonts w:hint="eastAsia" w:ascii="方正仿宋_GBK" w:hAnsi="方正仿宋_GBK" w:eastAsia="方正仿宋_GBK" w:cs="方正仿宋_GBK"/>
                <w:spacing w:val="9"/>
                <w:kern w:val="2"/>
                <w:sz w:val="24"/>
                <w:szCs w:val="24"/>
                <w:lang w:val="en-US" w:eastAsia="zh-CN" w:bidi="ar"/>
              </w:rPr>
              <w:t>诺:本公司申报上市、挂牌奖励所提交的申报材料均真实、合法,如有不实之处,</w:t>
            </w:r>
            <w:r>
              <w:rPr>
                <w:rFonts w:hint="eastAsia" w:ascii="方正仿宋_GBK" w:hAnsi="方正仿宋_GBK" w:eastAsia="方正仿宋_GBK" w:cs="方正仿宋_GBK"/>
                <w:spacing w:val="5"/>
                <w:kern w:val="2"/>
                <w:sz w:val="24"/>
                <w:szCs w:val="24"/>
                <w:lang w:val="en-US" w:eastAsia="zh-CN" w:bidi="ar"/>
              </w:rPr>
              <w:t>愿</w:t>
            </w:r>
            <w:r>
              <w:rPr>
                <w:rFonts w:hint="eastAsia" w:ascii="方正仿宋_GBK" w:hAnsi="方正仿宋_GBK" w:eastAsia="方正仿宋_GBK" w:cs="方正仿宋_GBK"/>
                <w:spacing w:val="4"/>
                <w:kern w:val="2"/>
                <w:sz w:val="24"/>
                <w:szCs w:val="24"/>
                <w:lang w:val="en-US" w:eastAsia="zh-CN" w:bidi="ar"/>
              </w:rPr>
              <w:t>负相应法律责任,并承担由此产生的一切后果。</w:t>
            </w:r>
          </w:p>
          <w:p>
            <w:pPr>
              <w:keepNext w:val="0"/>
              <w:keepLines w:val="0"/>
              <w:widowControl w:val="0"/>
              <w:suppressLineNumbers w:val="0"/>
              <w:spacing w:before="0" w:beforeAutospacing="0" w:after="0" w:afterAutospacing="0"/>
              <w:ind w:left="0" w:right="0"/>
              <w:jc w:val="both"/>
              <w:rPr>
                <w:rFonts w:hint="eastAsia" w:ascii="Times New Roman" w:hAnsi="Times New Roman" w:eastAsia="方正仿宋_GBK" w:cs="Times New Roman"/>
                <w:kern w:val="2"/>
                <w:sz w:val="32"/>
                <w:szCs w:val="32"/>
              </w:rPr>
            </w:pPr>
          </w:p>
          <w:p>
            <w:pPr>
              <w:keepNext w:val="0"/>
              <w:keepLines w:val="0"/>
              <w:widowControl w:val="0"/>
              <w:suppressLineNumbers w:val="0"/>
              <w:spacing w:before="223" w:beforeAutospacing="0" w:after="0" w:afterAutospacing="0"/>
              <w:ind w:left="3730"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28"/>
                <w:kern w:val="2"/>
                <w:sz w:val="24"/>
                <w:szCs w:val="24"/>
                <w:lang w:val="en-US" w:eastAsia="zh-CN" w:bidi="ar"/>
              </w:rPr>
              <w:t xml:space="preserve">法定代表人 (公章) </w:t>
            </w:r>
            <w:r>
              <w:rPr>
                <w:rFonts w:hint="eastAsia" w:ascii="方正仿宋_GBK" w:hAnsi="方正仿宋_GBK" w:eastAsia="方正仿宋_GBK" w:cs="方正仿宋_GBK"/>
                <w:spacing w:val="26"/>
                <w:kern w:val="2"/>
                <w:sz w:val="24"/>
                <w:szCs w:val="24"/>
                <w:lang w:val="en-US" w:eastAsia="zh-CN" w:bidi="ar"/>
              </w:rPr>
              <w:t>:</w:t>
            </w:r>
          </w:p>
          <w:p>
            <w:pPr>
              <w:keepNext w:val="0"/>
              <w:keepLines w:val="0"/>
              <w:widowControl w:val="0"/>
              <w:suppressLineNumbers w:val="0"/>
              <w:spacing w:before="0" w:beforeAutospacing="0" w:after="0" w:afterAutospacing="0"/>
              <w:ind w:left="4198"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2"/>
                <w:kern w:val="2"/>
                <w:sz w:val="24"/>
                <w:szCs w:val="24"/>
                <w:lang w:val="en-US" w:eastAsia="zh-CN" w:bidi="ar"/>
              </w:rPr>
              <w:t xml:space="preserve">年  </w:t>
            </w:r>
            <w:r>
              <w:rPr>
                <w:rFonts w:hint="eastAsia" w:ascii="方正仿宋_GBK" w:hAnsi="方正仿宋_GBK" w:eastAsia="方正仿宋_GBK" w:cs="方正仿宋_GBK"/>
                <w:spacing w:val="1"/>
                <w:kern w:val="2"/>
                <w:sz w:val="24"/>
                <w:szCs w:val="24"/>
                <w:lang w:val="en-US" w:eastAsia="zh-CN" w:bidi="ar"/>
              </w:rPr>
              <w:t xml:space="preserve">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51" w:hRule="atLeast"/>
          <w:jc w:val="center"/>
        </w:trPr>
        <w:tc>
          <w:tcPr>
            <w:tcW w:w="2426" w:type="dxa"/>
            <w:gridSpan w:val="3"/>
            <w:tcBorders>
              <w:top w:val="single" w:color="auto" w:sz="2" w:space="0"/>
              <w:left w:val="single" w:color="auto" w:sz="2" w:space="0"/>
              <w:bottom w:val="single" w:color="auto" w:sz="2" w:space="0"/>
              <w:right w:val="single" w:color="auto" w:sz="2" w:space="0"/>
            </w:tcBorders>
            <w:shd w:val="clear" w:color="auto" w:fill="auto"/>
            <w:vAlign w:val="top"/>
          </w:tcPr>
          <w:p>
            <w:pPr>
              <w:keepNext w:val="0"/>
              <w:keepLines w:val="0"/>
              <w:widowControl w:val="0"/>
              <w:suppressLineNumbers w:val="0"/>
              <w:spacing w:before="0" w:beforeAutospacing="0" w:after="0" w:afterAutospacing="0" w:line="328" w:lineRule="auto"/>
              <w:ind w:left="0" w:right="0"/>
              <w:jc w:val="both"/>
              <w:rPr>
                <w:rFonts w:hint="eastAsia" w:ascii="方正仿宋_GBK" w:hAnsi="方正仿宋_GBK" w:eastAsia="方正仿宋_GBK" w:cs="方正仿宋_GBK"/>
                <w:kern w:val="2"/>
                <w:sz w:val="21"/>
                <w:szCs w:val="21"/>
              </w:rPr>
            </w:pPr>
          </w:p>
          <w:p>
            <w:pPr>
              <w:keepNext w:val="0"/>
              <w:keepLines w:val="0"/>
              <w:widowControl w:val="0"/>
              <w:suppressLineNumbers w:val="0"/>
              <w:spacing w:before="102" w:beforeAutospacing="0" w:after="0" w:afterAutospacing="0"/>
              <w:ind w:left="0" w:right="406"/>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11"/>
                <w:kern w:val="2"/>
                <w:sz w:val="24"/>
                <w:szCs w:val="24"/>
                <w:lang w:val="en-US" w:eastAsia="zh-CN" w:bidi="ar"/>
              </w:rPr>
              <w:t>区</w:t>
            </w:r>
            <w:r>
              <w:rPr>
                <w:rFonts w:hint="eastAsia" w:ascii="方正仿宋_GBK" w:hAnsi="方正仿宋_GBK" w:eastAsia="方正仿宋_GBK" w:cs="方正仿宋_GBK"/>
                <w:spacing w:val="-7"/>
                <w:kern w:val="2"/>
                <w:sz w:val="24"/>
                <w:szCs w:val="24"/>
                <w:lang w:val="en-US" w:eastAsia="zh-CN" w:bidi="ar"/>
              </w:rPr>
              <w:t>国资金融发展中心</w:t>
            </w:r>
            <w:r>
              <w:rPr>
                <w:rFonts w:hint="eastAsia" w:ascii="方正仿宋_GBK" w:hAnsi="方正仿宋_GBK" w:eastAsia="方正仿宋_GBK" w:cs="方正仿宋_GBK"/>
                <w:spacing w:val="-10"/>
                <w:kern w:val="2"/>
                <w:sz w:val="24"/>
                <w:szCs w:val="24"/>
                <w:lang w:val="en-US" w:eastAsia="zh-CN" w:bidi="ar"/>
              </w:rPr>
              <w:t>审</w:t>
            </w:r>
            <w:r>
              <w:rPr>
                <w:rFonts w:hint="eastAsia" w:ascii="方正仿宋_GBK" w:hAnsi="方正仿宋_GBK" w:eastAsia="方正仿宋_GBK" w:cs="方正仿宋_GBK"/>
                <w:spacing w:val="-7"/>
                <w:kern w:val="2"/>
                <w:sz w:val="24"/>
                <w:szCs w:val="24"/>
                <w:lang w:val="en-US" w:eastAsia="zh-CN" w:bidi="ar"/>
              </w:rPr>
              <w:t>核意见</w:t>
            </w:r>
          </w:p>
        </w:tc>
        <w:tc>
          <w:tcPr>
            <w:tcW w:w="6652" w:type="dxa"/>
            <w:gridSpan w:val="3"/>
            <w:tcBorders>
              <w:top w:val="single" w:color="auto" w:sz="2" w:space="0"/>
              <w:left w:val="nil"/>
              <w:bottom w:val="single" w:color="auto" w:sz="2" w:space="0"/>
              <w:right w:val="single" w:color="auto" w:sz="2" w:space="0"/>
            </w:tcBorders>
            <w:shd w:val="clear" w:color="auto" w:fill="auto"/>
            <w:vAlign w:val="top"/>
          </w:tcPr>
          <w:p>
            <w:pPr>
              <w:keepNext w:val="0"/>
              <w:keepLines w:val="0"/>
              <w:widowControl w:val="0"/>
              <w:suppressLineNumbers w:val="0"/>
              <w:spacing w:before="0" w:beforeAutospacing="0" w:after="0" w:afterAutospacing="0" w:line="324" w:lineRule="auto"/>
              <w:ind w:left="0" w:right="0"/>
              <w:jc w:val="both"/>
              <w:rPr>
                <w:rFonts w:hint="eastAsia" w:ascii="方正仿宋_GBK" w:hAnsi="方正仿宋_GBK" w:eastAsia="方正仿宋_GBK" w:cs="方正仿宋_GBK"/>
                <w:kern w:val="2"/>
                <w:sz w:val="21"/>
                <w:szCs w:val="21"/>
              </w:rPr>
            </w:pPr>
          </w:p>
          <w:p>
            <w:pPr>
              <w:keepNext w:val="0"/>
              <w:keepLines w:val="0"/>
              <w:widowControl w:val="0"/>
              <w:suppressLineNumbers w:val="0"/>
              <w:spacing w:before="0" w:beforeAutospacing="0" w:after="0" w:afterAutospacing="0" w:line="324" w:lineRule="auto"/>
              <w:ind w:left="0" w:right="0"/>
              <w:jc w:val="both"/>
              <w:rPr>
                <w:rFonts w:hint="eastAsia" w:ascii="方正仿宋_GBK" w:hAnsi="方正仿宋_GBK" w:eastAsia="方正仿宋_GBK" w:cs="方正仿宋_GBK"/>
                <w:kern w:val="2"/>
                <w:sz w:val="21"/>
                <w:szCs w:val="21"/>
              </w:rPr>
            </w:pPr>
          </w:p>
          <w:p>
            <w:pPr>
              <w:keepNext w:val="0"/>
              <w:keepLines w:val="0"/>
              <w:widowControl w:val="0"/>
              <w:suppressLineNumbers w:val="0"/>
              <w:spacing w:before="103" w:beforeAutospacing="0" w:after="0" w:afterAutospacing="0"/>
              <w:ind w:left="3571"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54"/>
                <w:kern w:val="2"/>
                <w:sz w:val="24"/>
                <w:szCs w:val="24"/>
                <w:lang w:val="en-US" w:eastAsia="zh-CN" w:bidi="ar"/>
              </w:rPr>
              <w:t>(</w:t>
            </w:r>
            <w:r>
              <w:rPr>
                <w:rFonts w:hint="eastAsia" w:ascii="方正仿宋_GBK" w:hAnsi="方正仿宋_GBK" w:eastAsia="方正仿宋_GBK" w:cs="方正仿宋_GBK"/>
                <w:spacing w:val="52"/>
                <w:kern w:val="2"/>
                <w:sz w:val="24"/>
                <w:szCs w:val="24"/>
                <w:lang w:val="en-US" w:eastAsia="zh-CN" w:bidi="ar"/>
              </w:rPr>
              <w:t>公章)</w:t>
            </w:r>
          </w:p>
          <w:p>
            <w:pPr>
              <w:keepNext w:val="0"/>
              <w:keepLines w:val="0"/>
              <w:widowControl w:val="0"/>
              <w:suppressLineNumbers w:val="0"/>
              <w:spacing w:before="0" w:beforeAutospacing="0" w:after="0" w:afterAutospacing="0"/>
              <w:ind w:left="3124"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2"/>
                <w:kern w:val="2"/>
                <w:sz w:val="24"/>
                <w:szCs w:val="24"/>
                <w:lang w:val="en-US" w:eastAsia="zh-CN" w:bidi="ar"/>
              </w:rPr>
              <w:t xml:space="preserve">年  </w:t>
            </w:r>
            <w:r>
              <w:rPr>
                <w:rFonts w:hint="eastAsia" w:ascii="方正仿宋_GBK" w:hAnsi="方正仿宋_GBK" w:eastAsia="方正仿宋_GBK" w:cs="方正仿宋_GBK"/>
                <w:spacing w:val="1"/>
                <w:kern w:val="2"/>
                <w:sz w:val="24"/>
                <w:szCs w:val="24"/>
                <w:lang w:val="en-US" w:eastAsia="zh-CN" w:bidi="ar"/>
              </w:rPr>
              <w:t xml:space="preserve">     月       日</w:t>
            </w:r>
          </w:p>
        </w:tc>
      </w:tr>
    </w:tbl>
    <w:p>
      <w:pPr>
        <w:keepNext w:val="0"/>
        <w:keepLines w:val="0"/>
        <w:widowControl w:val="0"/>
        <w:suppressLineNumbers w:val="0"/>
        <w:autoSpaceDE w:val="0"/>
        <w:autoSpaceDN/>
        <w:spacing w:before="5" w:beforeAutospacing="0" w:after="0" w:afterAutospacing="0" w:line="360" w:lineRule="exact"/>
        <w:ind w:left="1035" w:leftChars="150" w:right="321" w:hanging="720" w:hangingChars="300"/>
        <w:jc w:val="both"/>
        <w:rPr>
          <w:rFonts w:hint="default" w:ascii="Times New Roman" w:hAnsi="Times New Roman" w:eastAsia="方正仿宋_GBK" w:cs="Times New Roman"/>
          <w:spacing w:val="13"/>
          <w:kern w:val="2"/>
          <w:sz w:val="24"/>
          <w:szCs w:val="24"/>
        </w:rPr>
      </w:pPr>
      <w:r>
        <w:rPr>
          <w:rFonts w:hint="eastAsia" w:ascii="方正仿宋_GBK" w:hAnsi="方正仿宋_GBK" w:eastAsia="方正仿宋_GBK" w:cs="方正仿宋_GBK"/>
          <w:spacing w:val="0"/>
          <w:kern w:val="2"/>
          <w:sz w:val="24"/>
          <w:szCs w:val="24"/>
          <w:lang w:val="en-US" w:eastAsia="zh-CN" w:bidi="ar"/>
        </w:rPr>
        <w:t>备注：</w:t>
      </w:r>
      <w:r>
        <w:rPr>
          <w:rFonts w:hint="eastAsia" w:ascii="方正仿宋_GBK" w:hAnsi="方正仿宋_GBK" w:eastAsia="方正仿宋_GBK" w:cs="方正仿宋_GBK"/>
          <w:spacing w:val="13"/>
          <w:kern w:val="2"/>
          <w:sz w:val="24"/>
          <w:szCs w:val="24"/>
          <w:lang w:val="en-US" w:eastAsia="zh-CN" w:bidi="ar"/>
        </w:rPr>
        <w:t>“政策依据”一栏</w:t>
      </w:r>
      <w:r>
        <w:rPr>
          <w:rFonts w:hint="default" w:ascii="Times New Roman" w:hAnsi="Times New Roman" w:eastAsia="方正仿宋_GBK" w:cs="Times New Roman"/>
          <w:spacing w:val="13"/>
          <w:kern w:val="2"/>
          <w:sz w:val="24"/>
          <w:szCs w:val="24"/>
          <w:lang w:val="en-US" w:eastAsia="zh-CN" w:bidi="ar"/>
        </w:rPr>
        <w:t>,</w:t>
      </w:r>
      <w:r>
        <w:rPr>
          <w:rFonts w:hint="eastAsia" w:ascii="方正仿宋_GBK" w:hAnsi="方正仿宋_GBK" w:eastAsia="方正仿宋_GBK" w:cs="方正仿宋_GBK"/>
          <w:spacing w:val="13"/>
          <w:kern w:val="2"/>
          <w:sz w:val="24"/>
          <w:szCs w:val="24"/>
          <w:lang w:val="en-US" w:eastAsia="zh-CN" w:bidi="ar"/>
        </w:rPr>
        <w:t>请认真对照《南川区进一步鼓励扶持企业挂</w:t>
      </w:r>
    </w:p>
    <w:p>
      <w:pPr>
        <w:keepNext w:val="0"/>
        <w:keepLines w:val="0"/>
        <w:widowControl w:val="0"/>
        <w:suppressLineNumbers w:val="0"/>
        <w:autoSpaceDE w:val="0"/>
        <w:autoSpaceDN/>
        <w:spacing w:before="5" w:beforeAutospacing="0" w:after="0" w:afterAutospacing="0" w:line="360" w:lineRule="exact"/>
        <w:ind w:left="1239" w:leftChars="150" w:right="321" w:hanging="924" w:hangingChars="300"/>
        <w:jc w:val="both"/>
        <w:rPr>
          <w:rFonts w:hint="default" w:ascii="Times New Roman" w:hAnsi="Times New Roman" w:eastAsia="方正仿宋_GBK" w:cs="Times New Roman"/>
          <w:spacing w:val="13"/>
          <w:kern w:val="2"/>
          <w:sz w:val="24"/>
          <w:szCs w:val="24"/>
        </w:rPr>
      </w:pPr>
      <w:r>
        <w:rPr>
          <w:rFonts w:hint="eastAsia" w:ascii="Times New Roman" w:hAnsi="Times New Roman" w:eastAsia="方正仿宋_GBK" w:cs="Times New Roman"/>
          <w:spacing w:val="34"/>
          <w:kern w:val="2"/>
          <w:sz w:val="24"/>
          <w:szCs w:val="24"/>
          <w:lang w:val="en-US" w:eastAsia="zh-CN" w:bidi="ar"/>
        </w:rPr>
        <w:t xml:space="preserve">   </w:t>
      </w:r>
      <w:r>
        <w:rPr>
          <w:rFonts w:hint="eastAsia" w:ascii="Times New Roman" w:hAnsi="Times New Roman" w:eastAsia="方正仿宋_GBK" w:cs="Times New Roman"/>
          <w:spacing w:val="11"/>
          <w:kern w:val="2"/>
          <w:sz w:val="24"/>
          <w:szCs w:val="24"/>
          <w:lang w:val="en-US" w:eastAsia="zh-CN" w:bidi="ar"/>
        </w:rPr>
        <w:t xml:space="preserve"> </w:t>
      </w:r>
      <w:r>
        <w:rPr>
          <w:rFonts w:hint="eastAsia" w:ascii="Times New Roman" w:hAnsi="Times New Roman" w:eastAsia="方正仿宋_GBK" w:cs="Times New Roman"/>
          <w:spacing w:val="13"/>
          <w:kern w:val="2"/>
          <w:sz w:val="24"/>
          <w:szCs w:val="24"/>
          <w:lang w:val="en-US" w:eastAsia="zh-CN" w:bidi="ar"/>
        </w:rPr>
        <w:t xml:space="preserve"> </w:t>
      </w:r>
      <w:r>
        <w:rPr>
          <w:rFonts w:hint="eastAsia" w:ascii="方正仿宋_GBK" w:hAnsi="方正仿宋_GBK" w:eastAsia="方正仿宋_GBK" w:cs="方正仿宋_GBK"/>
          <w:spacing w:val="13"/>
          <w:kern w:val="2"/>
          <w:sz w:val="24"/>
          <w:szCs w:val="24"/>
          <w:lang w:val="en-US" w:eastAsia="zh-CN" w:bidi="ar"/>
        </w:rPr>
        <w:t>牌上市的通意见》第三条</w:t>
      </w:r>
      <w:r>
        <w:rPr>
          <w:rFonts w:hint="default" w:ascii="Times New Roman" w:hAnsi="Times New Roman" w:eastAsia="方正仿宋_GBK" w:cs="Times New Roman"/>
          <w:spacing w:val="13"/>
          <w:kern w:val="2"/>
          <w:sz w:val="24"/>
          <w:szCs w:val="24"/>
          <w:lang w:val="en-US" w:eastAsia="zh-CN" w:bidi="ar"/>
        </w:rPr>
        <w:t>,</w:t>
      </w:r>
      <w:r>
        <w:rPr>
          <w:rFonts w:hint="eastAsia" w:ascii="方正仿宋_GBK" w:hAnsi="方正仿宋_GBK" w:eastAsia="方正仿宋_GBK" w:cs="方正仿宋_GBK"/>
          <w:spacing w:val="13"/>
          <w:kern w:val="2"/>
          <w:sz w:val="24"/>
          <w:szCs w:val="24"/>
          <w:lang w:val="en-US" w:eastAsia="zh-CN" w:bidi="ar"/>
        </w:rPr>
        <w:t>详细写明企业所处的挂牌上市阶段及</w:t>
      </w:r>
    </w:p>
    <w:p>
      <w:pPr>
        <w:keepNext w:val="0"/>
        <w:keepLines w:val="0"/>
        <w:widowControl w:val="0"/>
        <w:suppressLineNumbers w:val="0"/>
        <w:autoSpaceDE w:val="0"/>
        <w:autoSpaceDN/>
        <w:spacing w:before="5" w:beforeAutospacing="0" w:after="0" w:afterAutospacing="0" w:line="360" w:lineRule="exact"/>
        <w:ind w:left="1330" w:right="321" w:hanging="1330" w:hangingChars="500"/>
        <w:jc w:val="both"/>
        <w:rPr>
          <w:rFonts w:hint="default" w:ascii="Times New Roman" w:hAnsi="Times New Roman" w:eastAsia="方正仿宋_GBK" w:cs="Times New Roman"/>
          <w:kern w:val="2"/>
          <w:sz w:val="24"/>
          <w:szCs w:val="24"/>
        </w:rPr>
      </w:pPr>
      <w:r>
        <w:rPr>
          <w:rFonts w:hint="eastAsia" w:ascii="Times New Roman" w:hAnsi="Times New Roman" w:eastAsia="方正仿宋_GBK" w:cs="Times New Roman"/>
          <w:spacing w:val="13"/>
          <w:kern w:val="2"/>
          <w:sz w:val="24"/>
          <w:szCs w:val="24"/>
          <w:lang w:val="en-US" w:eastAsia="zh-CN" w:bidi="ar"/>
        </w:rPr>
        <w:t xml:space="preserve">         </w:t>
      </w:r>
      <w:r>
        <w:rPr>
          <w:rFonts w:hint="eastAsia" w:ascii="方正仿宋_GBK" w:hAnsi="方正仿宋_GBK" w:eastAsia="方正仿宋_GBK" w:cs="方正仿宋_GBK"/>
          <w:spacing w:val="13"/>
          <w:kern w:val="2"/>
          <w:sz w:val="24"/>
          <w:szCs w:val="24"/>
          <w:lang w:val="en-US" w:eastAsia="zh-CN" w:bidi="ar"/>
        </w:rPr>
        <w:t>奖励标准。尚未发行上市企业</w:t>
      </w:r>
      <w:r>
        <w:rPr>
          <w:rFonts w:hint="default" w:ascii="Times New Roman" w:hAnsi="Times New Roman" w:eastAsia="方正仿宋_GBK" w:cs="Times New Roman"/>
          <w:spacing w:val="13"/>
          <w:kern w:val="2"/>
          <w:sz w:val="24"/>
          <w:szCs w:val="24"/>
          <w:lang w:val="en-US" w:eastAsia="zh-CN" w:bidi="ar"/>
        </w:rPr>
        <w:t>,</w:t>
      </w:r>
      <w:r>
        <w:rPr>
          <w:rFonts w:hint="eastAsia" w:ascii="方正仿宋_GBK" w:hAnsi="方正仿宋_GBK" w:eastAsia="方正仿宋_GBK" w:cs="方正仿宋_GBK"/>
          <w:spacing w:val="13"/>
          <w:kern w:val="2"/>
          <w:sz w:val="24"/>
          <w:szCs w:val="24"/>
          <w:lang w:val="en-US" w:eastAsia="zh-CN" w:bidi="ar"/>
        </w:rPr>
        <w:t>分阶段申请境内证券交</w:t>
      </w:r>
      <w:r>
        <w:rPr>
          <w:rFonts w:hint="eastAsia" w:ascii="方正仿宋_GBK" w:hAnsi="方正仿宋_GBK" w:eastAsia="方正仿宋_GBK" w:cs="方正仿宋_GBK"/>
          <w:spacing w:val="10"/>
          <w:kern w:val="2"/>
          <w:sz w:val="24"/>
          <w:szCs w:val="24"/>
          <w:lang w:val="en-US" w:eastAsia="zh-CN" w:bidi="ar"/>
        </w:rPr>
        <w:t>易所上市奖励的</w:t>
      </w:r>
      <w:r>
        <w:rPr>
          <w:rFonts w:hint="default" w:ascii="Times New Roman" w:hAnsi="Times New Roman" w:eastAsia="方正仿宋_GBK" w:cs="Times New Roman"/>
          <w:spacing w:val="10"/>
          <w:kern w:val="2"/>
          <w:sz w:val="24"/>
          <w:szCs w:val="24"/>
          <w:lang w:val="en-US" w:eastAsia="zh-CN" w:bidi="ar"/>
        </w:rPr>
        <w:t>,</w:t>
      </w:r>
      <w:r>
        <w:rPr>
          <w:rFonts w:hint="eastAsia" w:ascii="方正仿宋_GBK" w:hAnsi="方正仿宋_GBK" w:eastAsia="方正仿宋_GBK" w:cs="方正仿宋_GBK"/>
          <w:spacing w:val="10"/>
          <w:kern w:val="2"/>
          <w:sz w:val="24"/>
          <w:szCs w:val="24"/>
          <w:lang w:val="en-US" w:eastAsia="zh-CN" w:bidi="ar"/>
        </w:rPr>
        <w:t>上市</w:t>
      </w:r>
      <w:r>
        <w:rPr>
          <w:rFonts w:hint="default" w:ascii="Times New Roman" w:hAnsi="Times New Roman" w:eastAsia="方正仿宋_GBK" w:cs="Times New Roman"/>
          <w:spacing w:val="10"/>
          <w:kern w:val="2"/>
          <w:sz w:val="24"/>
          <w:szCs w:val="24"/>
          <w:lang w:val="en-US" w:eastAsia="zh-CN" w:bidi="ar"/>
        </w:rPr>
        <w:t>/</w:t>
      </w:r>
      <w:r>
        <w:rPr>
          <w:rFonts w:hint="eastAsia" w:ascii="方正仿宋_GBK" w:hAnsi="方正仿宋_GBK" w:eastAsia="方正仿宋_GBK" w:cs="方正仿宋_GBK"/>
          <w:spacing w:val="10"/>
          <w:kern w:val="2"/>
          <w:sz w:val="24"/>
          <w:szCs w:val="24"/>
          <w:lang w:val="en-US" w:eastAsia="zh-CN" w:bidi="ar"/>
        </w:rPr>
        <w:t>挂牌板块、上市</w:t>
      </w:r>
      <w:r>
        <w:rPr>
          <w:rFonts w:hint="default" w:ascii="Times New Roman" w:hAnsi="Times New Roman" w:eastAsia="方正仿宋_GBK" w:cs="Times New Roman"/>
          <w:spacing w:val="10"/>
          <w:kern w:val="2"/>
          <w:sz w:val="24"/>
          <w:szCs w:val="24"/>
          <w:lang w:val="en-US" w:eastAsia="zh-CN" w:bidi="ar"/>
        </w:rPr>
        <w:t>/</w:t>
      </w:r>
      <w:r>
        <w:rPr>
          <w:rFonts w:hint="eastAsia" w:ascii="方正仿宋_GBK" w:hAnsi="方正仿宋_GBK" w:eastAsia="方正仿宋_GBK" w:cs="方正仿宋_GBK"/>
          <w:spacing w:val="10"/>
          <w:kern w:val="2"/>
          <w:sz w:val="24"/>
          <w:szCs w:val="24"/>
          <w:lang w:val="en-US" w:eastAsia="zh-CN" w:bidi="ar"/>
        </w:rPr>
        <w:t>挂牌时间可不填写</w:t>
      </w:r>
      <w:r>
        <w:rPr>
          <w:rFonts w:hint="eastAsia" w:ascii="方正仿宋_GBK" w:hAnsi="方正仿宋_GBK" w:eastAsia="方正仿宋_GBK" w:cs="方正仿宋_GBK"/>
          <w:spacing w:val="8"/>
          <w:kern w:val="2"/>
          <w:sz w:val="24"/>
          <w:szCs w:val="24"/>
          <w:lang w:val="en-US" w:eastAsia="zh-CN" w:bidi="ar"/>
        </w:rPr>
        <w:t>。</w:t>
      </w:r>
    </w:p>
    <w:p>
      <w:pPr>
        <w:pStyle w:val="3"/>
        <w:widowControl/>
        <w:ind w:left="0" w:firstLine="512" w:firstLineChars="200"/>
      </w:pPr>
      <w:r>
        <w:rPr>
          <w:rFonts w:hint="eastAsia" w:ascii="方正仿宋_GBK" w:hAnsi="方正仿宋_GBK" w:eastAsia="方正仿宋_GBK" w:cs="方正仿宋_GBK"/>
          <w:b w:val="0"/>
          <w:bCs w:val="0"/>
          <w:spacing w:val="8"/>
          <w:kern w:val="36"/>
          <w:sz w:val="24"/>
          <w:szCs w:val="24"/>
        </w:rPr>
        <w:t>联系人：                                  联系电话：</w:t>
      </w:r>
    </w:p>
    <w:p>
      <w:pPr>
        <w:rPr>
          <w:rFonts w:hint="eastAsia" w:ascii="方正仿宋_GBK" w:hAnsi="方正仿宋_GBK" w:eastAsia="方正仿宋_GBK" w:cs="方正仿宋_GBK"/>
          <w:b w:val="0"/>
          <w:bCs w:val="0"/>
          <w:spacing w:val="8"/>
          <w:kern w:val="36"/>
          <w:sz w:val="24"/>
          <w:szCs w:val="24"/>
        </w:rPr>
        <w:sectPr>
          <w:headerReference r:id="rId3" w:type="default"/>
          <w:footerReference r:id="rId4" w:type="default"/>
          <w:footerReference r:id="rId5" w:type="even"/>
          <w:pgSz w:w="11906" w:h="16838"/>
          <w:pgMar w:top="2098" w:right="1474" w:bottom="1985" w:left="1588" w:header="851" w:footer="1474" w:gutter="0"/>
          <w:pgBorders w:offsetFrom="page">
            <w:top w:val="none" w:sz="0" w:space="0"/>
            <w:left w:val="none" w:sz="0" w:space="0"/>
            <w:bottom w:val="none" w:sz="0" w:space="0"/>
            <w:right w:val="none" w:sz="0" w:space="0"/>
          </w:pgBorders>
          <w:pgNumType w:fmt="numberInDash"/>
          <w:cols w:space="0" w:num="1"/>
          <w:rtlGutter w:val="0"/>
          <w:docGrid w:type="lines" w:linePitch="579" w:charSpace="0"/>
        </w:sect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jc w:val="both"/>
        <w:textAlignment w:val="auto"/>
        <w:rPr>
          <w:rFonts w:hint="eastAsia" w:ascii="方正黑体_GBK" w:hAnsi="方正黑体_GBK" w:eastAsia="方正黑体_GBK" w:cs="方正黑体_GBK"/>
          <w:spacing w:val="-18"/>
          <w:kern w:val="2"/>
          <w:sz w:val="32"/>
          <w:szCs w:val="32"/>
          <w:lang w:val="en-US" w:eastAsia="zh-CN" w:bidi="ar"/>
        </w:rPr>
      </w:pPr>
    </w:p>
    <w:p>
      <w:pPr>
        <w:keepNext w:val="0"/>
        <w:keepLines w:val="0"/>
        <w:widowControl w:val="0"/>
        <w:suppressLineNumbers w:val="0"/>
        <w:autoSpaceDE w:val="0"/>
        <w:autoSpaceDN/>
        <w:spacing w:before="0" w:beforeAutospacing="0" w:after="0" w:afterAutospacing="0" w:line="560" w:lineRule="exact"/>
        <w:ind w:left="0" w:right="0"/>
        <w:jc w:val="both"/>
        <w:rPr>
          <w:rFonts w:hint="eastAsia" w:ascii="方正黑体_GBK" w:hAnsi="方正黑体_GBK" w:eastAsia="方正黑体_GBK" w:cs="方正黑体_GBK"/>
          <w:spacing w:val="-18"/>
          <w:kern w:val="2"/>
          <w:sz w:val="32"/>
          <w:szCs w:val="32"/>
        </w:rPr>
      </w:pPr>
      <w:r>
        <w:rPr>
          <w:rFonts w:hint="eastAsia" w:ascii="方正黑体_GBK" w:hAnsi="方正黑体_GBK" w:eastAsia="方正黑体_GBK" w:cs="方正黑体_GBK"/>
          <w:spacing w:val="-18"/>
          <w:kern w:val="2"/>
          <w:sz w:val="32"/>
          <w:szCs w:val="32"/>
          <w:lang w:val="en-US" w:eastAsia="zh-CN" w:bidi="ar"/>
        </w:rPr>
        <w:t>附件2</w:t>
      </w:r>
    </w:p>
    <w:p>
      <w:pPr>
        <w:pStyle w:val="10"/>
        <w:keepNext w:val="0"/>
        <w:keepLines w:val="0"/>
        <w:widowControl w:val="0"/>
        <w:suppressLineNumbers w:val="0"/>
        <w:autoSpaceDE w:val="0"/>
        <w:autoSpaceDN/>
        <w:spacing w:before="0" w:beforeAutospacing="0" w:after="0" w:afterAutospacing="0" w:line="560" w:lineRule="exact"/>
        <w:ind w:left="0" w:right="0"/>
        <w:rPr>
          <w:rFonts w:hint="default" w:ascii="Arial" w:hAnsi="Arial" w:eastAsia="宋体" w:cs="Times New Roman"/>
          <w:b/>
          <w:bCs w:val="0"/>
          <w:kern w:val="2"/>
          <w:sz w:val="32"/>
          <w:szCs w:val="32"/>
        </w:rPr>
      </w:pPr>
      <w:r>
        <w:rPr>
          <w:rFonts w:hint="default" w:ascii="Arial" w:hAnsi="Arial" w:eastAsia="宋体" w:cs="Times New Roman"/>
          <w:b/>
          <w:bCs w:val="0"/>
          <w:kern w:val="2"/>
          <w:sz w:val="32"/>
          <w:szCs w:val="32"/>
        </w:rPr>
        <w:t xml:space="preserve"> </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小标宋_GBK" w:hAnsi="方正小标宋_GBK" w:eastAsia="方正小标宋_GBK" w:cs="方正小标宋_GBK"/>
          <w:kern w:val="2"/>
          <w:sz w:val="44"/>
          <w:szCs w:val="44"/>
        </w:rPr>
      </w:pPr>
      <w:r>
        <w:rPr>
          <w:rFonts w:hint="eastAsia" w:ascii="方正小标宋_GBK" w:hAnsi="方正小标宋_GBK" w:eastAsia="方正小标宋_GBK" w:cs="方正小标宋_GBK"/>
          <w:spacing w:val="16"/>
          <w:kern w:val="2"/>
          <w:sz w:val="44"/>
          <w:szCs w:val="44"/>
          <w:lang w:val="en-US" w:eastAsia="zh-CN" w:bidi="ar"/>
        </w:rPr>
        <w:t>企</w:t>
      </w:r>
      <w:r>
        <w:rPr>
          <w:rFonts w:hint="eastAsia" w:ascii="方正小标宋_GBK" w:hAnsi="方正小标宋_GBK" w:eastAsia="方正小标宋_GBK" w:cs="方正小标宋_GBK"/>
          <w:spacing w:val="9"/>
          <w:kern w:val="2"/>
          <w:sz w:val="44"/>
          <w:szCs w:val="44"/>
          <w:lang w:val="en-US" w:eastAsia="zh-CN" w:bidi="ar"/>
        </w:rPr>
        <w:t>业在银行开立的基本账户信息</w:t>
      </w:r>
    </w:p>
    <w:p>
      <w:pPr>
        <w:keepNext w:val="0"/>
        <w:keepLines w:val="0"/>
        <w:widowControl w:val="0"/>
        <w:suppressLineNumbers w:val="0"/>
        <w:spacing w:before="0" w:beforeAutospacing="0" w:after="0" w:afterAutospacing="0" w:line="237" w:lineRule="exact"/>
        <w:ind w:left="0" w:right="0"/>
        <w:jc w:val="both"/>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lang w:val="en-US" w:eastAsia="zh-CN" w:bidi="ar"/>
        </w:rPr>
        <w:t xml:space="preserve"> </w:t>
      </w:r>
    </w:p>
    <w:tbl>
      <w:tblPr>
        <w:tblStyle w:val="11"/>
        <w:tblW w:w="897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Layout w:type="fixed"/>
        <w:tblCellMar>
          <w:top w:w="0" w:type="dxa"/>
          <w:left w:w="0" w:type="dxa"/>
          <w:bottom w:w="0" w:type="dxa"/>
          <w:right w:w="0" w:type="dxa"/>
        </w:tblCellMar>
      </w:tblPr>
      <w:tblGrid>
        <w:gridCol w:w="1778"/>
        <w:gridCol w:w="1489"/>
        <w:gridCol w:w="571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shd w:val="clear" w:color="auto" w:fill="auto"/>
          <w:tblCellMar>
            <w:top w:w="0" w:type="dxa"/>
            <w:left w:w="0" w:type="dxa"/>
            <w:bottom w:w="0" w:type="dxa"/>
            <w:right w:w="0" w:type="dxa"/>
          </w:tblCellMar>
        </w:tblPrEx>
        <w:trPr>
          <w:trHeight w:val="1077" w:hRule="atLeast"/>
          <w:jc w:val="center"/>
        </w:trPr>
        <w:tc>
          <w:tcPr>
            <w:tcW w:w="1778" w:type="dxa"/>
            <w:vMerge w:val="restart"/>
            <w:tcBorders>
              <w:top w:val="single" w:color="auto" w:sz="2" w:space="0"/>
              <w:left w:val="single" w:color="auto" w:sz="2" w:space="0"/>
              <w:bottom w:val="nil"/>
              <w:right w:val="single" w:color="auto" w:sz="2" w:space="0"/>
            </w:tcBorders>
            <w:shd w:val="clear" w:color="auto" w:fill="auto"/>
            <w:vAlign w:val="center"/>
          </w:tcPr>
          <w:p>
            <w:pPr>
              <w:keepNext w:val="0"/>
              <w:keepLines w:val="0"/>
              <w:widowControl w:val="0"/>
              <w:suppressLineNumbers w:val="0"/>
              <w:spacing w:before="128" w:beforeAutospacing="0" w:after="0" w:afterAutospacing="0" w:line="247" w:lineRule="auto"/>
              <w:ind w:left="215" w:right="193" w:firstLine="145"/>
              <w:jc w:val="center"/>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6"/>
                <w:kern w:val="2"/>
                <w:sz w:val="24"/>
                <w:szCs w:val="24"/>
                <w:lang w:val="en-US" w:eastAsia="zh-CN" w:bidi="ar"/>
              </w:rPr>
              <w:t>银</w:t>
            </w:r>
            <w:r>
              <w:rPr>
                <w:rFonts w:hint="eastAsia" w:ascii="方正仿宋_GBK" w:hAnsi="方正仿宋_GBK" w:eastAsia="方正仿宋_GBK" w:cs="方正仿宋_GBK"/>
                <w:spacing w:val="-4"/>
                <w:kern w:val="2"/>
                <w:sz w:val="24"/>
                <w:szCs w:val="24"/>
                <w:lang w:val="en-US" w:eastAsia="zh-CN" w:bidi="ar"/>
              </w:rPr>
              <w:t>行开户</w:t>
            </w:r>
            <w:r>
              <w:rPr>
                <w:rFonts w:hint="eastAsia" w:ascii="方正仿宋_GBK" w:hAnsi="方正仿宋_GBK" w:eastAsia="方正仿宋_GBK" w:cs="方正仿宋_GBK"/>
                <w:spacing w:val="-8"/>
                <w:kern w:val="2"/>
                <w:sz w:val="24"/>
                <w:szCs w:val="24"/>
                <w:lang w:val="en-US" w:eastAsia="zh-CN" w:bidi="ar"/>
              </w:rPr>
              <w:t>许</w:t>
            </w:r>
            <w:r>
              <w:rPr>
                <w:rFonts w:hint="eastAsia" w:ascii="方正仿宋_GBK" w:hAnsi="方正仿宋_GBK" w:eastAsia="方正仿宋_GBK" w:cs="方正仿宋_GBK"/>
                <w:spacing w:val="-4"/>
                <w:kern w:val="2"/>
                <w:sz w:val="24"/>
                <w:szCs w:val="24"/>
                <w:lang w:val="en-US" w:eastAsia="zh-CN" w:bidi="ar"/>
              </w:rPr>
              <w:t>可证信息</w:t>
            </w:r>
          </w:p>
        </w:tc>
        <w:tc>
          <w:tcPr>
            <w:tcW w:w="1489"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129" w:beforeAutospacing="0" w:after="0" w:afterAutospacing="0"/>
              <w:ind w:left="203"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4"/>
                <w:kern w:val="2"/>
                <w:sz w:val="24"/>
                <w:szCs w:val="24"/>
                <w:lang w:val="en-US" w:eastAsia="zh-CN" w:bidi="ar"/>
              </w:rPr>
              <w:t>账</w:t>
            </w:r>
            <w:r>
              <w:rPr>
                <w:rFonts w:hint="eastAsia" w:ascii="方正仿宋_GBK" w:hAnsi="方正仿宋_GBK" w:eastAsia="方正仿宋_GBK" w:cs="方正仿宋_GBK"/>
                <w:spacing w:val="-3"/>
                <w:kern w:val="2"/>
                <w:sz w:val="24"/>
                <w:szCs w:val="24"/>
                <w:lang w:val="en-US" w:eastAsia="zh-CN" w:bidi="ar"/>
              </w:rPr>
              <w:t>户名称</w:t>
            </w:r>
          </w:p>
        </w:tc>
        <w:tc>
          <w:tcPr>
            <w:tcW w:w="571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73" w:hRule="atLeast"/>
          <w:jc w:val="center"/>
        </w:trPr>
        <w:tc>
          <w:tcPr>
            <w:tcW w:w="1778" w:type="dxa"/>
            <w:vMerge w:val="continue"/>
            <w:tcBorders>
              <w:top w:val="single" w:color="auto" w:sz="2" w:space="0"/>
              <w:left w:val="single" w:color="auto" w:sz="2" w:space="0"/>
              <w:bottom w:val="nil"/>
              <w:right w:val="single" w:color="auto"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9"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129" w:beforeAutospacing="0" w:after="0" w:afterAutospacing="0"/>
              <w:ind w:left="359"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8"/>
                <w:kern w:val="2"/>
                <w:sz w:val="24"/>
                <w:szCs w:val="24"/>
                <w:lang w:val="en-US" w:eastAsia="zh-CN" w:bidi="ar"/>
              </w:rPr>
              <w:t>开</w:t>
            </w:r>
            <w:r>
              <w:rPr>
                <w:rFonts w:hint="eastAsia" w:ascii="方正仿宋_GBK" w:hAnsi="方正仿宋_GBK" w:eastAsia="方正仿宋_GBK" w:cs="方正仿宋_GBK"/>
                <w:spacing w:val="-6"/>
                <w:kern w:val="2"/>
                <w:sz w:val="24"/>
                <w:szCs w:val="24"/>
                <w:lang w:val="en-US" w:eastAsia="zh-CN" w:bidi="ar"/>
              </w:rPr>
              <w:t>户行</w:t>
            </w:r>
          </w:p>
        </w:tc>
        <w:tc>
          <w:tcPr>
            <w:tcW w:w="571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1" w:hRule="atLeast"/>
          <w:jc w:val="center"/>
        </w:trPr>
        <w:tc>
          <w:tcPr>
            <w:tcW w:w="1778" w:type="dxa"/>
            <w:vMerge w:val="continue"/>
            <w:tcBorders>
              <w:top w:val="single" w:color="auto" w:sz="2" w:space="0"/>
              <w:left w:val="single" w:color="auto" w:sz="2" w:space="0"/>
              <w:bottom w:val="nil"/>
              <w:right w:val="single" w:color="auto" w:sz="2" w:space="0"/>
            </w:tcBorders>
            <w:shd w:val="clear" w:color="auto" w:fill="auto"/>
            <w:vAlign w:val="center"/>
          </w:tcPr>
          <w:p>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489"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128" w:beforeAutospacing="0" w:after="0" w:afterAutospacing="0"/>
              <w:ind w:left="505" w:right="0"/>
              <w:jc w:val="both"/>
              <w:rPr>
                <w:rFonts w:hint="eastAsia" w:ascii="方正仿宋_GBK" w:hAnsi="方正仿宋_GBK" w:eastAsia="方正仿宋_GBK" w:cs="方正仿宋_GBK"/>
                <w:kern w:val="2"/>
                <w:sz w:val="24"/>
                <w:szCs w:val="24"/>
              </w:rPr>
            </w:pPr>
            <w:r>
              <w:rPr>
                <w:rFonts w:hint="eastAsia" w:ascii="方正仿宋_GBK" w:hAnsi="方正仿宋_GBK" w:eastAsia="方正仿宋_GBK" w:cs="方正仿宋_GBK"/>
                <w:spacing w:val="-9"/>
                <w:kern w:val="2"/>
                <w:sz w:val="24"/>
                <w:szCs w:val="24"/>
                <w:lang w:val="en-US" w:eastAsia="zh-CN" w:bidi="ar"/>
              </w:rPr>
              <w:t>账</w:t>
            </w:r>
            <w:r>
              <w:rPr>
                <w:rFonts w:hint="eastAsia" w:ascii="方正仿宋_GBK" w:hAnsi="方正仿宋_GBK" w:eastAsia="方正仿宋_GBK" w:cs="方正仿宋_GBK"/>
                <w:spacing w:val="-7"/>
                <w:kern w:val="2"/>
                <w:sz w:val="24"/>
                <w:szCs w:val="24"/>
                <w:lang w:val="en-US" w:eastAsia="zh-CN" w:bidi="ar"/>
              </w:rPr>
              <w:t>号</w:t>
            </w:r>
          </w:p>
        </w:tc>
        <w:tc>
          <w:tcPr>
            <w:tcW w:w="5711" w:type="dxa"/>
            <w:tcBorders>
              <w:top w:val="single" w:color="auto" w:sz="2" w:space="0"/>
              <w:left w:val="nil"/>
              <w:bottom w:val="single" w:color="auto" w:sz="2" w:space="0"/>
              <w:right w:val="single" w:color="auto" w:sz="2" w:space="0"/>
            </w:tcBorders>
            <w:shd w:val="clear" w:color="auto" w:fill="auto"/>
            <w:vAlign w:val="center"/>
          </w:tcPr>
          <w:p>
            <w:pPr>
              <w:keepNext w:val="0"/>
              <w:keepLines w:val="0"/>
              <w:widowControl w:val="0"/>
              <w:suppressLineNumbers w:val="0"/>
              <w:spacing w:before="0" w:beforeAutospacing="0" w:after="0" w:afterAutospacing="0"/>
              <w:ind w:left="0" w:right="0"/>
              <w:jc w:val="both"/>
              <w:rPr>
                <w:rFonts w:hint="eastAsia" w:ascii="方正仿宋_GBK" w:hAnsi="方正仿宋_GBK" w:eastAsia="方正仿宋_GBK" w:cs="方正仿宋_GBK"/>
                <w:kern w:val="2"/>
                <w:sz w:val="24"/>
                <w:szCs w:val="24"/>
              </w:rPr>
            </w:pPr>
          </w:p>
        </w:tc>
      </w:tr>
    </w:tbl>
    <w:p>
      <w:pPr>
        <w:keepNext w:val="0"/>
        <w:keepLines w:val="0"/>
        <w:widowControl w:val="0"/>
        <w:suppressLineNumbers w:val="0"/>
        <w:spacing w:before="140" w:beforeAutospacing="0" w:after="0" w:afterAutospacing="0"/>
        <w:ind w:left="0" w:right="0" w:firstLine="568" w:firstLineChars="200"/>
        <w:jc w:val="both"/>
        <w:rPr>
          <w:rFonts w:hint="eastAsia" w:ascii="微软雅黑" w:hAnsi="微软雅黑" w:eastAsia="微软雅黑" w:cs="微软雅黑"/>
          <w:kern w:val="2"/>
          <w:sz w:val="24"/>
          <w:szCs w:val="24"/>
        </w:rPr>
      </w:pPr>
      <w:r>
        <w:rPr>
          <w:rFonts w:hint="eastAsia" w:ascii="方正仿宋_GBK" w:hAnsi="方正仿宋_GBK" w:eastAsia="方正仿宋_GBK" w:cs="方正仿宋_GBK"/>
          <w:spacing w:val="22"/>
          <w:kern w:val="2"/>
          <w:sz w:val="24"/>
          <w:szCs w:val="24"/>
          <w:lang w:val="en-US" w:eastAsia="zh-CN" w:bidi="ar"/>
        </w:rPr>
        <w:t>联</w:t>
      </w:r>
      <w:r>
        <w:rPr>
          <w:rFonts w:hint="eastAsia" w:ascii="方正仿宋_GBK" w:hAnsi="方正仿宋_GBK" w:eastAsia="方正仿宋_GBK" w:cs="方正仿宋_GBK"/>
          <w:spacing w:val="21"/>
          <w:kern w:val="2"/>
          <w:sz w:val="24"/>
          <w:szCs w:val="24"/>
          <w:lang w:val="en-US" w:eastAsia="zh-CN" w:bidi="ar"/>
        </w:rPr>
        <w:t>系</w:t>
      </w:r>
      <w:r>
        <w:rPr>
          <w:rFonts w:hint="eastAsia" w:ascii="方正仿宋_GBK" w:hAnsi="方正仿宋_GBK" w:eastAsia="方正仿宋_GBK" w:cs="方正仿宋_GBK"/>
          <w:spacing w:val="11"/>
          <w:kern w:val="2"/>
          <w:sz w:val="24"/>
          <w:szCs w:val="24"/>
          <w:lang w:val="en-US" w:eastAsia="zh-CN" w:bidi="ar"/>
        </w:rPr>
        <w:t>人:        联系电话:          申报时间:     年   月   日</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pPr>
        <w:keepNext w:val="0"/>
        <w:keepLines w:val="0"/>
        <w:widowControl w:val="0"/>
        <w:suppressLineNumbers w:val="0"/>
        <w:autoSpaceDE w:val="0"/>
        <w:autoSpaceDN/>
        <w:spacing w:before="0" w:beforeAutospacing="0" w:after="0" w:afterAutospacing="0" w:line="560" w:lineRule="exact"/>
        <w:ind w:left="0" w:right="0" w:firstLine="640" w:firstLineChars="200"/>
        <w:jc w:val="both"/>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lang w:val="en-US" w:eastAsia="zh-CN" w:bidi="ar"/>
        </w:rPr>
        <w:t xml:space="preserve"> </w:t>
      </w:r>
    </w:p>
    <w:p>
      <w:pPr>
        <w:pStyle w:val="3"/>
        <w:widowControl/>
        <w:rPr>
          <w:rFonts w:hint="default" w:ascii="Times New Roman" w:hAnsi="Times New Roman" w:eastAsia="方正仿宋_GBK" w:cs="Times New Roman"/>
          <w:b w:val="0"/>
          <w:bCs/>
          <w:color w:val="000000"/>
          <w:kern w:val="36"/>
          <w:sz w:val="48"/>
          <w:szCs w:val="48"/>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方正仿宋_GBK" w:eastAsia="方正仿宋_GBK"/>
          <w:sz w:val="32"/>
          <w:szCs w:val="32"/>
          <w:lang w:val="en-US" w:eastAsia="zh-CN"/>
        </w:rPr>
      </w:pPr>
    </w:p>
    <w:sectPr>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2336;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86el0dQA&#10;AAAG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0217B43"/>
    <w:rsid w:val="019E71BD"/>
    <w:rsid w:val="01C65124"/>
    <w:rsid w:val="041C42DA"/>
    <w:rsid w:val="04B679C3"/>
    <w:rsid w:val="05F07036"/>
    <w:rsid w:val="06E00104"/>
    <w:rsid w:val="080F63D8"/>
    <w:rsid w:val="09341458"/>
    <w:rsid w:val="0952512D"/>
    <w:rsid w:val="098254C2"/>
    <w:rsid w:val="09D97B51"/>
    <w:rsid w:val="0A766EDE"/>
    <w:rsid w:val="0AD64BE8"/>
    <w:rsid w:val="0B0912D7"/>
    <w:rsid w:val="0E025194"/>
    <w:rsid w:val="0FF352A0"/>
    <w:rsid w:val="152D2DCA"/>
    <w:rsid w:val="187168EA"/>
    <w:rsid w:val="196673CA"/>
    <w:rsid w:val="1B2F4AEE"/>
    <w:rsid w:val="1CF734C9"/>
    <w:rsid w:val="1DEC284C"/>
    <w:rsid w:val="1E6523AC"/>
    <w:rsid w:val="22440422"/>
    <w:rsid w:val="22BB4BBB"/>
    <w:rsid w:val="2A1B3F79"/>
    <w:rsid w:val="2AEB3417"/>
    <w:rsid w:val="31A15F24"/>
    <w:rsid w:val="324A1681"/>
    <w:rsid w:val="36314CDF"/>
    <w:rsid w:val="36FB1DF0"/>
    <w:rsid w:val="371E6A85"/>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1D6CF2"/>
    <w:rsid w:val="572C6D10"/>
    <w:rsid w:val="5DC34279"/>
    <w:rsid w:val="5FCD688E"/>
    <w:rsid w:val="5FF9BDAA"/>
    <w:rsid w:val="5FFE5333"/>
    <w:rsid w:val="608816D1"/>
    <w:rsid w:val="60EF4E7F"/>
    <w:rsid w:val="639D5821"/>
    <w:rsid w:val="648B0A32"/>
    <w:rsid w:val="665233C1"/>
    <w:rsid w:val="68BA4F1D"/>
    <w:rsid w:val="69AC0D42"/>
    <w:rsid w:val="6AD9688B"/>
    <w:rsid w:val="6C0C46EE"/>
    <w:rsid w:val="6D0E3F22"/>
    <w:rsid w:val="70352268"/>
    <w:rsid w:val="71032C88"/>
    <w:rsid w:val="744E4660"/>
    <w:rsid w:val="753355A2"/>
    <w:rsid w:val="759F1C61"/>
    <w:rsid w:val="769F2DE8"/>
    <w:rsid w:val="76FDEB7C"/>
    <w:rsid w:val="795D728C"/>
    <w:rsid w:val="79C65162"/>
    <w:rsid w:val="7C9011D9"/>
    <w:rsid w:val="7DC651C5"/>
    <w:rsid w:val="7DF350ED"/>
    <w:rsid w:val="7E7D28B6"/>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val="0"/>
      <w:keepLines w:val="0"/>
      <w:widowControl/>
      <w:suppressLineNumbers w:val="0"/>
      <w:spacing w:before="0" w:beforeAutospacing="1" w:after="0" w:afterAutospacing="1"/>
      <w:jc w:val="left"/>
      <w:outlineLvl w:val="0"/>
    </w:pPr>
    <w:rPr>
      <w:rFonts w:hint="eastAsia" w:ascii="宋体" w:hAnsi="宋体" w:eastAsia="方正仿宋_GBK" w:cs="宋体"/>
      <w:b/>
      <w:bCs/>
      <w:kern w:val="36"/>
      <w:sz w:val="48"/>
      <w:szCs w:val="48"/>
      <w:lang w:val="en-US" w:eastAsia="zh-CN" w:bidi="ar"/>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customStyle="1" w:styleId="2">
    <w:name w:val="正文文本 21"/>
    <w:basedOn w:val="1"/>
    <w:qFormat/>
    <w:uiPriority w:val="0"/>
    <w:pPr>
      <w:snapToGrid w:val="0"/>
      <w:spacing w:line="540" w:lineRule="exact"/>
    </w:pPr>
    <w:rPr>
      <w:rFonts w:eastAsia="方正仿宋_GBK"/>
      <w:color w:val="000000"/>
    </w:rPr>
  </w:style>
  <w:style w:type="paragraph" w:styleId="5">
    <w:name w:val="annotation text"/>
    <w:basedOn w:val="1"/>
    <w:qFormat/>
    <w:uiPriority w:val="0"/>
    <w:pPr>
      <w:jc w:val="left"/>
    </w:pPr>
  </w:style>
  <w:style w:type="paragraph" w:styleId="6">
    <w:name w:val="Body Text"/>
    <w:basedOn w:val="1"/>
    <w:link w:val="23"/>
    <w:qFormat/>
    <w:uiPriority w:val="0"/>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48"/>
      <w:szCs w:val="24"/>
      <w:lang w:val="en-US" w:eastAsia="zh-CN" w:bidi="ar"/>
    </w:rPr>
  </w:style>
  <w:style w:type="paragraph" w:styleId="7">
    <w:name w:val="footer"/>
    <w:basedOn w:val="1"/>
    <w:link w:val="20"/>
    <w:qFormat/>
    <w:uiPriority w:val="0"/>
    <w:pPr>
      <w:tabs>
        <w:tab w:val="center" w:pos="4153"/>
        <w:tab w:val="right" w:pos="8306"/>
      </w:tabs>
      <w:snapToGrid w:val="0"/>
      <w:jc w:val="left"/>
    </w:pPr>
    <w:rPr>
      <w:sz w:val="18"/>
    </w:rPr>
  </w:style>
  <w:style w:type="paragraph" w:styleId="8">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basedOn w:val="1"/>
    <w:qFormat/>
    <w:uiPriority w:val="0"/>
    <w:pPr>
      <w:keepNext w:val="0"/>
      <w:keepLines w:val="0"/>
      <w:widowControl w:val="0"/>
      <w:suppressLineNumbers w:val="0"/>
      <w:spacing w:before="240" w:beforeAutospacing="0" w:after="60" w:afterAutospacing="0"/>
      <w:jc w:val="center"/>
      <w:outlineLvl w:val="0"/>
    </w:pPr>
    <w:rPr>
      <w:rFonts w:hint="default" w:ascii="Arial" w:hAnsi="Arial" w:eastAsia="宋体" w:cs="Times New Roman"/>
      <w:b/>
      <w:kern w:val="2"/>
      <w:sz w:val="32"/>
      <w:szCs w:val="32"/>
      <w:lang w:val="en-US" w:eastAsia="zh-CN" w:bidi="ar"/>
    </w:rPr>
  </w:style>
  <w:style w:type="character" w:styleId="13">
    <w:name w:val="Strong"/>
    <w:basedOn w:val="12"/>
    <w:qFormat/>
    <w:uiPriority w:val="0"/>
    <w:rPr>
      <w:b/>
      <w:bCs/>
    </w:rPr>
  </w:style>
  <w:style w:type="character" w:styleId="14">
    <w:name w:val="FollowedHyperlink"/>
    <w:basedOn w:val="12"/>
    <w:qFormat/>
    <w:uiPriority w:val="0"/>
    <w:rPr>
      <w:color w:val="800080"/>
      <w:u w:val="single"/>
    </w:rPr>
  </w:style>
  <w:style w:type="character" w:styleId="15">
    <w:name w:val="Hyperlink"/>
    <w:basedOn w:val="12"/>
    <w:qFormat/>
    <w:uiPriority w:val="0"/>
    <w:rPr>
      <w:color w:val="0000FF"/>
      <w:u w:val="single"/>
    </w:rPr>
  </w:style>
  <w:style w:type="paragraph" w:customStyle="1" w:styleId="16">
    <w:name w:val="Body Text 21"/>
    <w:basedOn w:val="1"/>
    <w:qFormat/>
    <w:uiPriority w:val="0"/>
    <w:pPr>
      <w:keepNext w:val="0"/>
      <w:keepLines w:val="0"/>
      <w:widowControl w:val="0"/>
      <w:suppressLineNumbers w:val="0"/>
      <w:snapToGrid w:val="0"/>
      <w:spacing w:before="0" w:beforeAutospacing="0" w:after="0" w:afterAutospacing="0" w:line="540" w:lineRule="exact"/>
      <w:ind w:left="0" w:right="0"/>
      <w:jc w:val="both"/>
    </w:pPr>
    <w:rPr>
      <w:rFonts w:hint="default" w:ascii="Times New Roman" w:hAnsi="Times New Roman" w:eastAsia="方正仿宋_GBK" w:cs="Times New Roman"/>
      <w:color w:val="000000"/>
      <w:kern w:val="2"/>
      <w:sz w:val="21"/>
      <w:szCs w:val="24"/>
      <w:lang w:val="en-US" w:eastAsia="zh-CN" w:bidi="ar"/>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页眉 Char"/>
    <w:basedOn w:val="12"/>
    <w:link w:val="8"/>
    <w:qFormat/>
    <w:uiPriority w:val="0"/>
    <w:rPr>
      <w:rFonts w:hint="eastAsia" w:ascii="仿宋_GB2312" w:eastAsia="仿宋_GB2312" w:cs="仿宋_GB2312"/>
      <w:kern w:val="2"/>
      <w:sz w:val="18"/>
      <w:szCs w:val="24"/>
    </w:rPr>
  </w:style>
  <w:style w:type="character" w:customStyle="1" w:styleId="19">
    <w:name w:val="正文文本 2 Char"/>
    <w:basedOn w:val="12"/>
    <w:qFormat/>
    <w:uiPriority w:val="0"/>
    <w:rPr>
      <w:rFonts w:hint="eastAsia" w:ascii="仿宋_GB2312" w:eastAsia="仿宋_GB2312" w:cs="仿宋_GB2312"/>
      <w:kern w:val="2"/>
      <w:sz w:val="32"/>
      <w:szCs w:val="24"/>
    </w:rPr>
  </w:style>
  <w:style w:type="character" w:customStyle="1" w:styleId="20">
    <w:name w:val="页脚 Char"/>
    <w:basedOn w:val="12"/>
    <w:link w:val="7"/>
    <w:qFormat/>
    <w:uiPriority w:val="0"/>
    <w:rPr>
      <w:rFonts w:hint="eastAsia" w:ascii="仿宋_GB2312" w:eastAsia="仿宋_GB2312" w:cs="仿宋_GB2312"/>
      <w:kern w:val="2"/>
      <w:sz w:val="18"/>
      <w:szCs w:val="24"/>
    </w:rPr>
  </w:style>
  <w:style w:type="character" w:customStyle="1" w:styleId="21">
    <w:name w:val="font21"/>
    <w:basedOn w:val="12"/>
    <w:qFormat/>
    <w:uiPriority w:val="0"/>
    <w:rPr>
      <w:rFonts w:hint="eastAsia" w:ascii="方正仿宋_GBK" w:hAnsi="方正仿宋_GBK" w:eastAsia="方正仿宋_GBK" w:cs="方正仿宋_GBK"/>
      <w:color w:val="000000"/>
      <w:sz w:val="20"/>
      <w:szCs w:val="20"/>
      <w:u w:val="none"/>
    </w:rPr>
  </w:style>
  <w:style w:type="character" w:customStyle="1" w:styleId="22">
    <w:name w:val="p0 Char Char"/>
    <w:basedOn w:val="12"/>
    <w:qFormat/>
    <w:uiPriority w:val="0"/>
    <w:rPr>
      <w:sz w:val="21"/>
      <w:szCs w:val="21"/>
    </w:rPr>
  </w:style>
  <w:style w:type="character" w:customStyle="1" w:styleId="23">
    <w:name w:val="正文文本 Char"/>
    <w:basedOn w:val="12"/>
    <w:link w:val="6"/>
    <w:qFormat/>
    <w:uiPriority w:val="0"/>
    <w:rPr>
      <w:rFonts w:hint="default" w:ascii="Calibri" w:hAnsi="Calibri" w:cs="Calibri"/>
      <w:kern w:val="2"/>
      <w:sz w:val="48"/>
      <w:szCs w:val="24"/>
    </w:rPr>
  </w:style>
  <w:style w:type="character" w:customStyle="1" w:styleId="24">
    <w:name w:val="page number"/>
    <w:basedOn w:val="12"/>
    <w:qFormat/>
    <w:uiPriority w:val="0"/>
  </w:style>
  <w:style w:type="paragraph" w:customStyle="1" w:styleId="25">
    <w:name w:val="Default"/>
    <w:basedOn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_GB2312" w:hAnsi="Calibri" w:eastAsia="仿宋_GB2312" w:cs="仿宋_GB2312"/>
      <w:color w:val="000000"/>
      <w:kern w:val="0"/>
      <w:sz w:val="24"/>
      <w:szCs w:val="24"/>
      <w:lang w:val="en-US" w:eastAsia="zh-CN" w:bidi="ar"/>
    </w:rPr>
  </w:style>
  <w:style w:type="character" w:customStyle="1" w:styleId="26">
    <w:name w:val="页眉 Char1"/>
    <w:basedOn w:val="12"/>
    <w:link w:val="8"/>
    <w:qFormat/>
    <w:uiPriority w:val="0"/>
    <w:rPr>
      <w:rFonts w:hint="eastAsia" w:ascii="仿宋_GB2312" w:eastAsia="仿宋_GB2312" w:cs="仿宋_GB2312"/>
      <w:kern w:val="2"/>
      <w:sz w:val="18"/>
      <w:szCs w:val="18"/>
    </w:rPr>
  </w:style>
  <w:style w:type="paragraph" w:customStyle="1" w:styleId="27">
    <w:name w:val="列出段落1"/>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24"/>
      <w:lang w:val="en-US" w:eastAsia="zh-CN" w:bidi="ar"/>
    </w:rPr>
  </w:style>
  <w:style w:type="paragraph" w:customStyle="1" w:styleId="28">
    <w:name w:val="Normal (Web)"/>
    <w:basedOn w:val="1"/>
    <w:qFormat/>
    <w:uiPriority w:val="0"/>
    <w:pPr>
      <w:widowControl/>
      <w:spacing w:beforeAutospacing="1" w:afterAutospacing="1"/>
      <w:jc w:val="left"/>
    </w:pPr>
    <w:rPr>
      <w:rFonts w:ascii="宋体" w:hAnsi="宋体" w:eastAsia="宋体" w:cs="宋体"/>
      <w:kern w:val="0"/>
      <w:sz w:val="24"/>
    </w:rPr>
  </w:style>
  <w:style w:type="paragraph" w:customStyle="1" w:styleId="29">
    <w:name w:val="Body text|4"/>
    <w:basedOn w:val="1"/>
    <w:qFormat/>
    <w:uiPriority w:val="0"/>
    <w:pPr>
      <w:shd w:val="clear" w:color="auto" w:fill="FFFFFF"/>
      <w:spacing w:after="700" w:line="571" w:lineRule="exact"/>
      <w:jc w:val="center"/>
    </w:pPr>
    <w:rPr>
      <w:rFonts w:ascii="PMingLiU" w:hAnsi="PMingLiU" w:eastAsia="PMingLiU" w:cs="PMingLiU"/>
      <w:sz w:val="34"/>
      <w:szCs w:val="3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6821</Words>
  <Characters>6945</Characters>
  <Lines>1</Lines>
  <Paragraphs>1</Paragraphs>
  <TotalTime>10</TotalTime>
  <ScaleCrop>false</ScaleCrop>
  <LinksUpToDate>false</LinksUpToDate>
  <CharactersWithSpaces>6973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2023-12-13T08:05:58Z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14C9641975544E5EA648241F99274009_13</vt:lpwstr>
  </property>
</Properties>
</file>