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sz w:val="32"/>
          <w:szCs w:val="32"/>
        </w:rPr>
      </w:pPr>
    </w:p>
    <w:p>
      <w:pPr>
        <w:pStyle w:val="13"/>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sz w:val="32"/>
          <w:szCs w:val="32"/>
          <w:lang w:val="en-US" w:eastAsia="zh-CN"/>
        </w:rPr>
      </w:pPr>
    </w:p>
    <w:p>
      <w:pPr>
        <w:pStyle w:val="13"/>
        <w:keepNext w:val="0"/>
        <w:keepLines w:val="0"/>
        <w:pageBreakBefore w:val="0"/>
        <w:widowControl w:val="0"/>
        <w:kinsoku/>
        <w:wordWrap/>
        <w:overflowPunct/>
        <w:topLinePunct w:val="0"/>
        <w:autoSpaceDE/>
        <w:autoSpaceDN/>
        <w:bidi w:val="0"/>
        <w:adjustRightInd/>
        <w:snapToGrid/>
        <w:spacing w:line="540" w:lineRule="exact"/>
        <w:ind w:firstLine="880" w:firstLineChars="200"/>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重庆市南川区人民政府办公室</w:t>
      </w:r>
    </w:p>
    <w:p>
      <w:pPr>
        <w:pStyle w:val="13"/>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关于加强污水处理费征收使用管理工作的</w:t>
      </w:r>
    </w:p>
    <w:p>
      <w:pPr>
        <w:pStyle w:val="13"/>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通  知</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南川府办发〔</w:t>
      </w:r>
      <w:r>
        <w:rPr>
          <w:rFonts w:hint="default"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Times New Roman"/>
          <w:sz w:val="32"/>
          <w:szCs w:val="32"/>
          <w:lang w:val="en-US" w:eastAsia="zh-CN"/>
        </w:rPr>
        <w:t>19</w:t>
      </w:r>
      <w:r>
        <w:rPr>
          <w:rFonts w:hint="eastAsia" w:ascii="方正仿宋_GBK" w:hAnsi="方正仿宋_GBK" w:eastAsia="方正仿宋_GBK" w:cs="方正仿宋_GBK"/>
          <w:sz w:val="32"/>
          <w:szCs w:val="32"/>
        </w:rPr>
        <w:t>号</w:t>
      </w:r>
      <w:bookmarkStart w:id="0" w:name="_GoBack"/>
      <w:bookmarkEnd w:id="0"/>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各乡镇人民政府、街道办事处，区政府有关部门，有关单位：</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为进一步规范污水处理费征收使用管理工作，切实保障污水处理设施建设运行维护，大力防治水污染，持续改善全区水环境质量，根据《城镇排水与污水处理条例》、《财政部 发展改革委 住房城乡建设部关于印发〈污水处理费征收使用管理办法〉的通知》（财税〔</w:t>
      </w:r>
      <w:r>
        <w:rPr>
          <w:rFonts w:hint="eastAsia" w:ascii="Times New Roman" w:hAnsi="Times New Roman" w:eastAsia="方正仿宋_GBK" w:cs="Times New Roman"/>
          <w:sz w:val="32"/>
          <w:szCs w:val="32"/>
          <w:lang w:val="en-US" w:eastAsia="zh-CN"/>
        </w:rPr>
        <w:t>2014</w:t>
      </w:r>
      <w:r>
        <w:rPr>
          <w:rFonts w:hint="eastAsia" w:ascii="方正仿宋_GBK" w:hAnsi="方正仿宋_GBK" w:eastAsia="方正仿宋_GBK" w:cs="方正仿宋_GBK"/>
          <w:color w:val="000000"/>
          <w:sz w:val="32"/>
          <w:szCs w:val="32"/>
          <w:lang w:val="en-US" w:eastAsia="zh-CN"/>
        </w:rPr>
        <w:t>〕</w:t>
      </w:r>
      <w:r>
        <w:rPr>
          <w:rFonts w:hint="eastAsia" w:ascii="Times New Roman" w:hAnsi="Times New Roman" w:eastAsia="方正仿宋_GBK" w:cs="Times New Roman"/>
          <w:sz w:val="32"/>
          <w:szCs w:val="32"/>
          <w:lang w:val="en-US" w:eastAsia="zh-CN"/>
        </w:rPr>
        <w:t>151</w:t>
      </w:r>
      <w:r>
        <w:rPr>
          <w:rFonts w:hint="eastAsia" w:ascii="方正仿宋_GBK" w:hAnsi="方正仿宋_GBK" w:eastAsia="方正仿宋_GBK" w:cs="方正仿宋_GBK"/>
          <w:color w:val="000000"/>
          <w:sz w:val="32"/>
          <w:szCs w:val="32"/>
          <w:lang w:val="en-US" w:eastAsia="zh-CN"/>
        </w:rPr>
        <w:t>号）、《重庆市住房和城乡建设委员会 重庆市发展和改革委员会 重庆市财政局关于印发〈重庆市污水处理费使用管理办法（试行）〉的通知》（渝建发〔</w:t>
      </w:r>
      <w:r>
        <w:rPr>
          <w:rFonts w:hint="eastAsia" w:ascii="Times New Roman" w:hAnsi="Times New Roman" w:eastAsia="方正仿宋_GBK" w:cs="Times New Roman"/>
          <w:sz w:val="32"/>
          <w:szCs w:val="32"/>
          <w:lang w:val="en-US" w:eastAsia="zh-CN"/>
        </w:rPr>
        <w:t>2025</w:t>
      </w:r>
      <w:r>
        <w:rPr>
          <w:rFonts w:hint="eastAsia" w:ascii="方正仿宋_GBK" w:hAnsi="方正仿宋_GBK" w:eastAsia="方正仿宋_GBK" w:cs="方正仿宋_GBK"/>
          <w:color w:val="000000"/>
          <w:sz w:val="32"/>
          <w:szCs w:val="32"/>
          <w:lang w:val="en-US" w:eastAsia="zh-CN"/>
        </w:rPr>
        <w:t>〕</w:t>
      </w:r>
      <w:r>
        <w:rPr>
          <w:rFonts w:hint="eastAsia"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color w:val="000000"/>
          <w:sz w:val="32"/>
          <w:szCs w:val="32"/>
          <w:lang w:val="en-US" w:eastAsia="zh-CN"/>
        </w:rPr>
        <w:t>号）等相关规定，经区政府同意，现就加强全区污水处理费征收使用管理工作有关事项通知如下：</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一、征收范围</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污水处理费是按照“污染者付费”原则，由排水单位或个人缴纳并专项用于城镇污水处理设施建设、运行和污泥处理处置的资金。征收范围为：</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（一）已建成污水处理厂（站）的城镇规划区范围；</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（二）在建污水处理厂（站）和已批准污水处理厂（站）建设项目可行性研究报告或项目建议书且能在三年内建成投入运行的城镇规划区范围。</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二、征收对象</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南川区城镇规划区范围内向城镇排水与污水处理设施排放污水、废水的单位和个人（统称缴纳义务人）。</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三、征收原则</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污水处理费按缴纳义务人的用水量计征，《财政部 发展改革委 住房城乡建设部关于印发〈污水处理费征收使用管理办法〉的通知》（财税〔</w:t>
      </w:r>
      <w:r>
        <w:rPr>
          <w:rFonts w:hint="eastAsia" w:ascii="Times New Roman" w:hAnsi="Times New Roman" w:eastAsia="方正仿宋_GBK" w:cs="Times New Roman"/>
          <w:sz w:val="32"/>
          <w:szCs w:val="32"/>
          <w:lang w:val="en-US" w:eastAsia="zh-CN"/>
        </w:rPr>
        <w:t>2014</w:t>
      </w:r>
      <w:r>
        <w:rPr>
          <w:rFonts w:hint="eastAsia" w:ascii="方正仿宋_GBK" w:hAnsi="方正仿宋_GBK" w:eastAsia="方正仿宋_GBK" w:cs="方正仿宋_GBK"/>
          <w:color w:val="000000"/>
          <w:sz w:val="32"/>
          <w:szCs w:val="32"/>
          <w:lang w:val="en-US" w:eastAsia="zh-CN"/>
        </w:rPr>
        <w:t>〕</w:t>
      </w:r>
      <w:r>
        <w:rPr>
          <w:rFonts w:hint="eastAsia" w:ascii="Times New Roman" w:hAnsi="Times New Roman" w:eastAsia="方正仿宋_GBK" w:cs="Times New Roman"/>
          <w:sz w:val="32"/>
          <w:szCs w:val="32"/>
          <w:lang w:val="en-US" w:eastAsia="zh-CN"/>
        </w:rPr>
        <w:t>151</w:t>
      </w:r>
      <w:r>
        <w:rPr>
          <w:rFonts w:hint="eastAsia" w:ascii="方正仿宋_GBK" w:hAnsi="方正仿宋_GBK" w:eastAsia="方正仿宋_GBK" w:cs="方正仿宋_GBK"/>
          <w:color w:val="000000"/>
          <w:sz w:val="32"/>
          <w:szCs w:val="32"/>
          <w:lang w:val="en-US" w:eastAsia="zh-CN"/>
        </w:rPr>
        <w:t>号）第十一条规定的情形除外。用水量按下列方式核定：</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（一）使用公共供水的单位和个人，其用水量以水表显示的量值为准；</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（二）使用自备水源的单位和个人已安装计量设备的，其用水量以计量设备显示的量值为准；未安装计量设备或者计量设备不能正常使用的，其用水量按取水设施额定流量每日运转24小时计算。</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四、征收标准</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我区污水处理费参照市级规定执行，即：居民按用水量</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color w:val="000000"/>
          <w:sz w:val="32"/>
          <w:szCs w:val="32"/>
          <w:lang w:val="en-US" w:eastAsia="zh-CN"/>
        </w:rPr>
        <w:t>元/立方米、非居民按用水量</w:t>
      </w:r>
      <w:r>
        <w:rPr>
          <w:rFonts w:hint="eastAsia" w:ascii="Times New Roman" w:hAnsi="Times New Roman" w:eastAsia="方正仿宋_GBK" w:cs="Times New Roman"/>
          <w:sz w:val="32"/>
          <w:szCs w:val="32"/>
          <w:lang w:val="en-US" w:eastAsia="zh-CN"/>
        </w:rPr>
        <w:t>1.3</w:t>
      </w:r>
      <w:r>
        <w:rPr>
          <w:rFonts w:hint="eastAsia" w:ascii="方正仿宋_GBK" w:hAnsi="方正仿宋_GBK" w:eastAsia="方正仿宋_GBK" w:cs="方正仿宋_GBK"/>
          <w:color w:val="000000"/>
          <w:sz w:val="32"/>
          <w:szCs w:val="32"/>
          <w:lang w:val="en-US" w:eastAsia="zh-CN"/>
        </w:rPr>
        <w:t>元/立方米征收。</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五、征收管理</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区住房城乡建委统筹推进污水处理费征收管理相关工作；区城市管理局、区水利局分别负责组织城区、乡镇公共供水企业开展售水量核定工作；属地乡镇（街道）配合开展污水处理费征收工作。区住房城乡建委委托区城投集团代为征收污水处理费，代征单位需按月将收取的污水处理费及缴款凭证复印件报送至区住房城乡建委，由区住房城乡建委按预算级次全额缴入国库，相关费用实行区财政收支两条线管理。</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六、票据使用</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公共供水企业向用户收取水费时，附加征收污水处理费，使用国家税务总局重庆市税务局通用机打发票，单列“污水处理费”科目。区住房城乡建委开具财政部门统一监制的财政票据，代征单位持该财政票据到政府非税收入代理银行将代征的污水处理费及时缴入区财政非税收入专户。</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七、代征手续费</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市级代征手续费按照上级有关规定执行。区住房城乡建委、区财政局于次年</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color w:val="000000"/>
          <w:sz w:val="32"/>
          <w:szCs w:val="32"/>
          <w:lang w:val="en-US" w:eastAsia="zh-CN"/>
        </w:rPr>
        <w:t>月底前完成对上年度缴纳污水处理费的汇算清缴工作，并对相关费用进行结算。</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八、使用和监管</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按照专款专用原则，区级征收的污水处理费全部用于我区污水处理设施的建设、运营、维护；区财政局对污水处理服务费支出实行预决算管理，纳入年度预算使用的污水处理服务费由区住房城乡建委负责管理。</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九、法律责任</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（一）单位和个人有下列情形之一的，依照国家有关规定追究法律责任，涉嫌犯罪的，依法移送司法机关处理：</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color w:val="000000"/>
          <w:sz w:val="32"/>
          <w:szCs w:val="32"/>
          <w:lang w:val="en-US" w:eastAsia="zh-CN"/>
        </w:rPr>
        <w:t>.擅自减免污水处理费或者改变污水处理费征收范围、对象和标准的；</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color w:val="000000"/>
          <w:sz w:val="32"/>
          <w:szCs w:val="32"/>
          <w:lang w:val="en-US" w:eastAsia="zh-CN"/>
        </w:rPr>
        <w:t>.隐瞒、坐支应当上缴的污水处理费的；</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color w:val="000000"/>
          <w:sz w:val="32"/>
          <w:szCs w:val="32"/>
          <w:lang w:val="en-US" w:eastAsia="zh-CN"/>
        </w:rPr>
        <w:t>.滞留、截留、挪用应当上缴的污水处理费的；</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color w:val="000000"/>
          <w:sz w:val="32"/>
          <w:szCs w:val="32"/>
          <w:lang w:val="en-US" w:eastAsia="zh-CN"/>
        </w:rPr>
        <w:t>.不按照规定的预算级次、预算科目将污水处理费缴入国库的；</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color w:val="000000"/>
          <w:sz w:val="32"/>
          <w:szCs w:val="32"/>
          <w:lang w:val="en-US" w:eastAsia="zh-CN"/>
        </w:rPr>
        <w:t>.违反规定扩大污水处理费开支范围、提高开支标准的；</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Times New Roman" w:hAnsi="Times New Roman" w:eastAsia="方正仿宋_GBK" w:cs="Times New Roman"/>
          <w:sz w:val="32"/>
          <w:szCs w:val="32"/>
          <w:lang w:val="en-US" w:eastAsia="zh-CN"/>
        </w:rPr>
        <w:t>6</w:t>
      </w:r>
      <w:r>
        <w:rPr>
          <w:rFonts w:hint="eastAsia" w:ascii="方正仿宋_GBK" w:hAnsi="方正仿宋_GBK" w:eastAsia="方正仿宋_GBK" w:cs="方正仿宋_GBK"/>
          <w:color w:val="000000"/>
          <w:sz w:val="32"/>
          <w:szCs w:val="32"/>
          <w:lang w:val="en-US" w:eastAsia="zh-CN"/>
        </w:rPr>
        <w:t>.其他有违反国家财政收入管理规定行为的。</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（二）缴纳义务人不缴纳污水处理费的，按照《城镇排水与污水处理条例》第五十四条规定，由区住房城乡建委责令限期缴纳，逾期拒不缴纳的，处应缴纳污水处理费数额</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color w:val="000000"/>
          <w:sz w:val="32"/>
          <w:szCs w:val="32"/>
          <w:lang w:val="en-US" w:eastAsia="zh-CN"/>
        </w:rPr>
        <w:t>倍以上</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color w:val="000000"/>
          <w:sz w:val="32"/>
          <w:szCs w:val="32"/>
          <w:lang w:val="en-US" w:eastAsia="zh-CN"/>
        </w:rPr>
        <w:t>倍以下罚款。</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十、其他事项</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本通知自</w:t>
      </w:r>
      <w:r>
        <w:rPr>
          <w:rFonts w:hint="eastAsia" w:ascii="Times New Roman" w:hAnsi="Times New Roman" w:eastAsia="方正仿宋_GBK" w:cs="Times New Roman"/>
          <w:sz w:val="32"/>
          <w:szCs w:val="32"/>
          <w:lang w:val="en-US" w:eastAsia="zh-CN"/>
        </w:rPr>
        <w:t>2026</w:t>
      </w:r>
      <w:r>
        <w:rPr>
          <w:rFonts w:hint="eastAsia" w:ascii="方正仿宋_GBK" w:hAnsi="方正仿宋_GBK" w:eastAsia="方正仿宋_GBK" w:cs="方正仿宋_GBK"/>
          <w:color w:val="000000"/>
          <w:sz w:val="32"/>
          <w:szCs w:val="32"/>
          <w:lang w:val="en-US" w:eastAsia="zh-CN"/>
        </w:rPr>
        <w:t>年</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color w:val="000000"/>
          <w:sz w:val="32"/>
          <w:szCs w:val="32"/>
          <w:lang w:val="en-US" w:eastAsia="zh-CN"/>
        </w:rPr>
        <w:t>月</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color w:val="000000"/>
          <w:sz w:val="32"/>
          <w:szCs w:val="32"/>
          <w:lang w:val="en-US" w:eastAsia="zh-CN"/>
        </w:rPr>
        <w:t>日起正式施行，区内其他文件规定与本通知不一致的，以本通知为准。</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000000"/>
          <w:sz w:val="32"/>
          <w:szCs w:val="32"/>
          <w:lang w:val="en-US"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 xml:space="preserve">                   重庆市南川区人民政府办公室   </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2025</w:t>
      </w:r>
      <w:r>
        <w:rPr>
          <w:rFonts w:hint="eastAsia" w:ascii="方正仿宋_GBK" w:hAnsi="方正仿宋_GBK" w:eastAsia="方正仿宋_GBK" w:cs="方正仿宋_GBK"/>
          <w:color w:val="000000"/>
          <w:sz w:val="32"/>
          <w:szCs w:val="32"/>
          <w:lang w:val="en-US" w:eastAsia="zh-CN"/>
        </w:rPr>
        <w:t>年</w:t>
      </w:r>
      <w:r>
        <w:rPr>
          <w:rFonts w:hint="eastAsia" w:ascii="Times New Roman" w:hAnsi="Times New Roman" w:eastAsia="方正仿宋_GBK" w:cs="Times New Roman"/>
          <w:sz w:val="32"/>
          <w:szCs w:val="32"/>
          <w:lang w:val="en-US" w:eastAsia="zh-CN"/>
        </w:rPr>
        <w:t>12</w:t>
      </w:r>
      <w:r>
        <w:rPr>
          <w:rFonts w:hint="eastAsia" w:ascii="方正仿宋_GBK" w:hAnsi="方正仿宋_GBK" w:eastAsia="方正仿宋_GBK" w:cs="方正仿宋_GBK"/>
          <w:color w:val="000000"/>
          <w:sz w:val="32"/>
          <w:szCs w:val="32"/>
          <w:lang w:val="en-US" w:eastAsia="zh-CN"/>
        </w:rPr>
        <w:t>月</w:t>
      </w:r>
      <w:r>
        <w:rPr>
          <w:rFonts w:hint="eastAsia" w:ascii="Times New Roman" w:hAnsi="Times New Roman" w:eastAsia="方正仿宋_GBK" w:cs="Times New Roman"/>
          <w:sz w:val="32"/>
          <w:szCs w:val="32"/>
          <w:lang w:val="en-US" w:eastAsia="zh-CN"/>
        </w:rPr>
        <w:t>31</w:t>
      </w:r>
      <w:r>
        <w:rPr>
          <w:rFonts w:hint="eastAsia" w:ascii="方正仿宋_GBK" w:hAnsi="方正仿宋_GBK" w:eastAsia="方正仿宋_GBK" w:cs="方正仿宋_GBK"/>
          <w:color w:val="000000"/>
          <w:sz w:val="32"/>
          <w:szCs w:val="32"/>
          <w:lang w:val="en-US" w:eastAsia="zh-CN"/>
        </w:rPr>
        <w:t xml:space="preserve">日 </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 xml:space="preserve">   </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 xml:space="preserve">（此件公开发布）    </w:t>
      </w: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p>
    <w:p>
      <w:pPr>
        <w:pStyle w:val="1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南川区人民政府办公室发布     </w:t>
    </w:r>
  </w:p>
  <w:p>
    <w:pPr>
      <w:pStyle w:val="1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1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南川区人民政府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M2ZiZTcxNDE3YmQ4MTFjMDU3MzA0ZTNlYTUxNzcifQ=="/>
  </w:docVars>
  <w:rsids>
    <w:rsidRoot w:val="00172A27"/>
    <w:rsid w:val="00217B43"/>
    <w:rsid w:val="019E71BD"/>
    <w:rsid w:val="01C65124"/>
    <w:rsid w:val="041C42DA"/>
    <w:rsid w:val="04B679C3"/>
    <w:rsid w:val="05F07036"/>
    <w:rsid w:val="06E00104"/>
    <w:rsid w:val="080F63D8"/>
    <w:rsid w:val="09341458"/>
    <w:rsid w:val="0952512D"/>
    <w:rsid w:val="098254C2"/>
    <w:rsid w:val="09D97B51"/>
    <w:rsid w:val="0A766EDE"/>
    <w:rsid w:val="0AD64BE8"/>
    <w:rsid w:val="0B0912D7"/>
    <w:rsid w:val="0E025194"/>
    <w:rsid w:val="0FF352A0"/>
    <w:rsid w:val="152D2DCA"/>
    <w:rsid w:val="169C0EB1"/>
    <w:rsid w:val="174256B5"/>
    <w:rsid w:val="187168EA"/>
    <w:rsid w:val="196673CA"/>
    <w:rsid w:val="19DF28F5"/>
    <w:rsid w:val="1B2F4AEE"/>
    <w:rsid w:val="1BE310EB"/>
    <w:rsid w:val="1CF734C9"/>
    <w:rsid w:val="1DEC284C"/>
    <w:rsid w:val="1E6523AC"/>
    <w:rsid w:val="22440422"/>
    <w:rsid w:val="22BB4BBB"/>
    <w:rsid w:val="264E7BAD"/>
    <w:rsid w:val="272E5669"/>
    <w:rsid w:val="28061EF9"/>
    <w:rsid w:val="29804371"/>
    <w:rsid w:val="2A1B3F79"/>
    <w:rsid w:val="2AEB3417"/>
    <w:rsid w:val="2B645818"/>
    <w:rsid w:val="30F96ED6"/>
    <w:rsid w:val="31A15F24"/>
    <w:rsid w:val="31AA3159"/>
    <w:rsid w:val="324A1681"/>
    <w:rsid w:val="35351CE5"/>
    <w:rsid w:val="36314CDF"/>
    <w:rsid w:val="36FB1DF0"/>
    <w:rsid w:val="37D97A34"/>
    <w:rsid w:val="395347B5"/>
    <w:rsid w:val="39A232A0"/>
    <w:rsid w:val="39E745AA"/>
    <w:rsid w:val="3B5A6BBB"/>
    <w:rsid w:val="3C6E0D64"/>
    <w:rsid w:val="3EDA13A6"/>
    <w:rsid w:val="417B75E9"/>
    <w:rsid w:val="42F058B7"/>
    <w:rsid w:val="436109F6"/>
    <w:rsid w:val="441A38D4"/>
    <w:rsid w:val="44FA350F"/>
    <w:rsid w:val="4504239D"/>
    <w:rsid w:val="45AF3BB8"/>
    <w:rsid w:val="476B75B0"/>
    <w:rsid w:val="4BC77339"/>
    <w:rsid w:val="4C9236C5"/>
    <w:rsid w:val="4E250A85"/>
    <w:rsid w:val="4FFD4925"/>
    <w:rsid w:val="505C172E"/>
    <w:rsid w:val="506405EA"/>
    <w:rsid w:val="52F46F0B"/>
    <w:rsid w:val="532B6A10"/>
    <w:rsid w:val="53D8014D"/>
    <w:rsid w:val="541B7B68"/>
    <w:rsid w:val="55E064E0"/>
    <w:rsid w:val="571D6CF2"/>
    <w:rsid w:val="572C6D10"/>
    <w:rsid w:val="57E95FFA"/>
    <w:rsid w:val="5DC34279"/>
    <w:rsid w:val="5F534FCD"/>
    <w:rsid w:val="5FCD688E"/>
    <w:rsid w:val="5FF9BDAA"/>
    <w:rsid w:val="5FFE5333"/>
    <w:rsid w:val="608816D1"/>
    <w:rsid w:val="60EF4E7F"/>
    <w:rsid w:val="615460CD"/>
    <w:rsid w:val="639D5821"/>
    <w:rsid w:val="648B0A32"/>
    <w:rsid w:val="665233C1"/>
    <w:rsid w:val="6693003E"/>
    <w:rsid w:val="68BA4F1D"/>
    <w:rsid w:val="6941720B"/>
    <w:rsid w:val="69AC0D42"/>
    <w:rsid w:val="6AD9688B"/>
    <w:rsid w:val="6D0E3F22"/>
    <w:rsid w:val="70352268"/>
    <w:rsid w:val="71032C88"/>
    <w:rsid w:val="744E4660"/>
    <w:rsid w:val="74C07185"/>
    <w:rsid w:val="753355A2"/>
    <w:rsid w:val="753E0E74"/>
    <w:rsid w:val="759F1C61"/>
    <w:rsid w:val="769F2DE8"/>
    <w:rsid w:val="76FDEB7C"/>
    <w:rsid w:val="795D728C"/>
    <w:rsid w:val="79C65162"/>
    <w:rsid w:val="7C9011D9"/>
    <w:rsid w:val="7DC651C5"/>
    <w:rsid w:val="7DF350ED"/>
    <w:rsid w:val="7E7D28B6"/>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unhideWhenUsed/>
    <w:qFormat/>
    <w:uiPriority w:val="0"/>
    <w:pPr>
      <w:keepNext/>
      <w:keepLines/>
      <w:spacing w:beforeLines="0" w:beforeAutospacing="0" w:afterLines="0" w:afterAutospacing="0" w:line="540" w:lineRule="exact"/>
      <w:ind w:left="640" w:leftChars="200"/>
      <w:outlineLvl w:val="1"/>
    </w:pPr>
    <w:rPr>
      <w:rFonts w:ascii="Arial" w:hAnsi="Arial" w:eastAsia="方正黑体_GBK" w:cs="Times New Roman"/>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4">
    <w:name w:val="Default Paragraph Font"/>
    <w:semiHidden/>
    <w:qFormat/>
    <w:uiPriority w:val="0"/>
  </w:style>
  <w:style w:type="table" w:default="1" w:styleId="23">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BodyText"/>
    <w:basedOn w:val="1"/>
    <w:next w:val="3"/>
    <w:qFormat/>
    <w:uiPriority w:val="0"/>
    <w:pPr>
      <w:widowControl w:val="0"/>
      <w:kinsoku/>
      <w:autoSpaceDE/>
      <w:autoSpaceDN/>
      <w:adjustRightInd/>
      <w:snapToGrid/>
      <w:spacing w:line="240" w:lineRule="auto"/>
      <w:jc w:val="both"/>
      <w:textAlignment w:val="baseline"/>
    </w:pPr>
    <w:rPr>
      <w:rFonts w:ascii="Times New Roman" w:hAnsi="Times New Roman" w:eastAsia="宋体" w:cs="Times New Roman"/>
      <w:snapToGrid/>
      <w:kern w:val="2"/>
      <w:sz w:val="48"/>
      <w:szCs w:val="24"/>
      <w:lang w:val="en-US" w:eastAsia="zh-CN"/>
    </w:rPr>
  </w:style>
  <w:style w:type="paragraph" w:customStyle="1" w:styleId="3">
    <w:name w:val="TOC5"/>
    <w:basedOn w:val="1"/>
    <w:next w:val="1"/>
    <w:qFormat/>
    <w:uiPriority w:val="0"/>
    <w:pPr>
      <w:widowControl w:val="0"/>
      <w:kinsoku/>
      <w:autoSpaceDE/>
      <w:autoSpaceDN/>
      <w:adjustRightInd/>
      <w:snapToGrid/>
      <w:spacing w:line="600" w:lineRule="exact"/>
      <w:ind w:firstLine="200" w:firstLineChars="200"/>
      <w:jc w:val="left"/>
      <w:textAlignment w:val="baseline"/>
    </w:pPr>
    <w:rPr>
      <w:rFonts w:ascii="方正黑体_GBK" w:hAnsi="Times New Roman" w:eastAsia="方正黑体_GBK" w:cs="Times New Roman"/>
      <w:snapToGrid/>
      <w:kern w:val="2"/>
      <w:sz w:val="32"/>
      <w:szCs w:val="32"/>
      <w:lang w:val="en-US" w:eastAsia="zh-CN"/>
    </w:rPr>
  </w:style>
  <w:style w:type="paragraph" w:styleId="7">
    <w:name w:val="Normal Indent"/>
    <w:basedOn w:val="1"/>
    <w:next w:val="1"/>
    <w:qFormat/>
    <w:uiPriority w:val="0"/>
    <w:pPr>
      <w:widowControl w:val="0"/>
      <w:ind w:firstLine="200" w:firstLineChars="200"/>
      <w:jc w:val="both"/>
    </w:pPr>
    <w:rPr>
      <w:rFonts w:ascii="Times New Roman" w:hAnsi="Times New Roman"/>
      <w:sz w:val="32"/>
      <w:szCs w:val="32"/>
    </w:rPr>
  </w:style>
  <w:style w:type="paragraph" w:styleId="8">
    <w:name w:val="annotation text"/>
    <w:basedOn w:val="1"/>
    <w:qFormat/>
    <w:uiPriority w:val="0"/>
    <w:pPr>
      <w:jc w:val="left"/>
    </w:pPr>
  </w:style>
  <w:style w:type="paragraph" w:styleId="9">
    <w:name w:val="Body Text"/>
    <w:basedOn w:val="1"/>
    <w:next w:val="1"/>
    <w:link w:val="36"/>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48"/>
      <w:szCs w:val="24"/>
      <w:lang w:val="en-US" w:eastAsia="zh-CN" w:bidi="ar"/>
    </w:rPr>
  </w:style>
  <w:style w:type="paragraph" w:styleId="10">
    <w:name w:val="Body Text Indent"/>
    <w:basedOn w:val="1"/>
    <w:qFormat/>
    <w:uiPriority w:val="0"/>
    <w:pPr>
      <w:spacing w:line="360" w:lineRule="atLeast"/>
      <w:ind w:firstLine="555"/>
    </w:pPr>
    <w:rPr>
      <w:rFonts w:ascii="Verdana" w:hAnsi="Verdana"/>
    </w:rPr>
  </w:style>
  <w:style w:type="paragraph" w:styleId="11">
    <w:name w:val="HTML Address"/>
    <w:basedOn w:val="1"/>
    <w:qFormat/>
    <w:uiPriority w:val="0"/>
    <w:pPr>
      <w:widowControl/>
      <w:spacing w:before="100" w:beforeAutospacing="1" w:after="100" w:afterAutospacing="1"/>
      <w:jc w:val="left"/>
    </w:pPr>
    <w:rPr>
      <w:rFonts w:ascii="宋体" w:hAnsi="宋体" w:cs="宋体"/>
      <w:kern w:val="0"/>
      <w:sz w:val="24"/>
    </w:rPr>
  </w:style>
  <w:style w:type="paragraph" w:styleId="12">
    <w:name w:val="toc 5"/>
    <w:basedOn w:val="1"/>
    <w:next w:val="1"/>
    <w:qFormat/>
    <w:uiPriority w:val="0"/>
    <w:pPr>
      <w:ind w:left="1680" w:leftChars="800"/>
    </w:pPr>
  </w:style>
  <w:style w:type="paragraph" w:styleId="13">
    <w:name w:val="Plain Text"/>
    <w:basedOn w:val="1"/>
    <w:qFormat/>
    <w:uiPriority w:val="0"/>
    <w:rPr>
      <w:rFonts w:ascii="宋体" w:hAnsi="Courier New" w:cs="Courier New"/>
      <w:szCs w:val="21"/>
    </w:rPr>
  </w:style>
  <w:style w:type="paragraph" w:styleId="14">
    <w:name w:val="Date"/>
    <w:basedOn w:val="1"/>
    <w:next w:val="1"/>
    <w:qFormat/>
    <w:uiPriority w:val="0"/>
    <w:pPr>
      <w:ind w:left="100" w:leftChars="2500"/>
    </w:pPr>
  </w:style>
  <w:style w:type="paragraph" w:styleId="15">
    <w:name w:val="footer"/>
    <w:basedOn w:val="1"/>
    <w:next w:val="16"/>
    <w:link w:val="33"/>
    <w:qFormat/>
    <w:uiPriority w:val="0"/>
    <w:pPr>
      <w:tabs>
        <w:tab w:val="center" w:pos="4153"/>
        <w:tab w:val="right" w:pos="8306"/>
      </w:tabs>
      <w:snapToGrid w:val="0"/>
      <w:jc w:val="left"/>
    </w:pPr>
    <w:rPr>
      <w:sz w:val="18"/>
    </w:rPr>
  </w:style>
  <w:style w:type="paragraph" w:customStyle="1" w:styleId="16">
    <w:name w:val="索引 51"/>
    <w:basedOn w:val="1"/>
    <w:next w:val="1"/>
    <w:qFormat/>
    <w:uiPriority w:val="0"/>
    <w:pPr>
      <w:ind w:left="1680"/>
    </w:pPr>
  </w:style>
  <w:style w:type="paragraph" w:styleId="17">
    <w:name w:val="header"/>
    <w:basedOn w:val="1"/>
    <w:link w:val="3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Body Text 2"/>
    <w:basedOn w:val="1"/>
    <w:qFormat/>
    <w:uiPriority w:val="0"/>
    <w:pPr>
      <w:snapToGrid w:val="0"/>
      <w:spacing w:line="540" w:lineRule="exact"/>
    </w:pPr>
    <w:rPr>
      <w:rFonts w:eastAsia="方正仿宋_GBK"/>
      <w:color w:val="000000"/>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1">
    <w:name w:val="Body Text First Indent"/>
    <w:basedOn w:val="9"/>
    <w:qFormat/>
    <w:uiPriority w:val="0"/>
    <w:pPr>
      <w:ind w:firstLine="420" w:firstLineChars="100"/>
    </w:pPr>
    <w:rPr>
      <w:rFonts w:hint="eastAsia"/>
    </w:rPr>
  </w:style>
  <w:style w:type="paragraph" w:styleId="22">
    <w:name w:val="Body Text First Indent 2"/>
    <w:basedOn w:val="10"/>
    <w:next w:val="1"/>
    <w:qFormat/>
    <w:uiPriority w:val="0"/>
    <w:pPr>
      <w:ind w:firstLine="420" w:firstLineChars="200"/>
    </w:pPr>
    <w:rPr>
      <w:rFonts w:ascii="Times New Roman" w:hAnsi="Times New Roman" w:eastAsia="方正仿宋_GBK" w:cs="Times New Roman"/>
      <w:sz w:val="32"/>
      <w:szCs w:val="32"/>
    </w:rPr>
  </w:style>
  <w:style w:type="character" w:styleId="25">
    <w:name w:val="Strong"/>
    <w:basedOn w:val="24"/>
    <w:qFormat/>
    <w:uiPriority w:val="0"/>
    <w:rPr>
      <w:b/>
      <w:bCs/>
    </w:rPr>
  </w:style>
  <w:style w:type="character" w:styleId="26">
    <w:name w:val="FollowedHyperlink"/>
    <w:basedOn w:val="24"/>
    <w:qFormat/>
    <w:uiPriority w:val="0"/>
    <w:rPr>
      <w:color w:val="800080"/>
      <w:u w:val="single"/>
    </w:rPr>
  </w:style>
  <w:style w:type="character" w:styleId="27">
    <w:name w:val="Hyperlink"/>
    <w:basedOn w:val="24"/>
    <w:qFormat/>
    <w:uiPriority w:val="0"/>
    <w:rPr>
      <w:color w:val="0000FF"/>
      <w:u w:val="single"/>
    </w:rPr>
  </w:style>
  <w:style w:type="paragraph" w:customStyle="1" w:styleId="28">
    <w:name w:val="正文文本 21"/>
    <w:basedOn w:val="1"/>
    <w:qFormat/>
    <w:uiPriority w:val="0"/>
    <w:pPr>
      <w:snapToGrid w:val="0"/>
      <w:spacing w:line="540" w:lineRule="exact"/>
    </w:pPr>
    <w:rPr>
      <w:rFonts w:eastAsia="方正仿宋_GBK"/>
      <w:color w:val="000000"/>
    </w:rPr>
  </w:style>
  <w:style w:type="paragraph" w:customStyle="1" w:styleId="29">
    <w:name w:val="Body Text 21"/>
    <w:basedOn w:val="1"/>
    <w:qFormat/>
    <w:uiPriority w:val="0"/>
    <w:pPr>
      <w:keepNext w:val="0"/>
      <w:keepLines w:val="0"/>
      <w:widowControl w:val="0"/>
      <w:suppressLineNumbers w:val="0"/>
      <w:snapToGrid w:val="0"/>
      <w:spacing w:before="0" w:beforeAutospacing="0" w:after="0" w:afterAutospacing="0" w:line="540" w:lineRule="exact"/>
      <w:ind w:left="0" w:right="0"/>
      <w:jc w:val="both"/>
    </w:pPr>
    <w:rPr>
      <w:rFonts w:hint="default" w:ascii="Times New Roman" w:hAnsi="Times New Roman" w:eastAsia="方正仿宋_GBK" w:cs="Times New Roman"/>
      <w:color w:val="000000"/>
      <w:kern w:val="2"/>
      <w:sz w:val="21"/>
      <w:szCs w:val="24"/>
      <w:lang w:val="en-US" w:eastAsia="zh-CN" w:bidi="ar"/>
    </w:rPr>
  </w:style>
  <w:style w:type="paragraph" w:customStyle="1" w:styleId="30">
    <w:name w:val="p0"/>
    <w:basedOn w:val="1"/>
    <w:qFormat/>
    <w:uiPriority w:val="0"/>
    <w:pPr>
      <w:widowControl/>
    </w:pPr>
    <w:rPr>
      <w:rFonts w:ascii="Calibri" w:hAnsi="Calibri" w:eastAsia="宋体" w:cs="宋体"/>
      <w:kern w:val="0"/>
      <w:szCs w:val="32"/>
    </w:rPr>
  </w:style>
  <w:style w:type="character" w:customStyle="1" w:styleId="31">
    <w:name w:val="页眉 Char"/>
    <w:basedOn w:val="24"/>
    <w:link w:val="17"/>
    <w:qFormat/>
    <w:uiPriority w:val="0"/>
    <w:rPr>
      <w:rFonts w:hint="eastAsia" w:ascii="仿宋_GB2312" w:eastAsia="仿宋_GB2312" w:cs="仿宋_GB2312"/>
      <w:kern w:val="2"/>
      <w:sz w:val="18"/>
      <w:szCs w:val="24"/>
    </w:rPr>
  </w:style>
  <w:style w:type="character" w:customStyle="1" w:styleId="32">
    <w:name w:val="正文文本 2 Char"/>
    <w:basedOn w:val="24"/>
    <w:qFormat/>
    <w:uiPriority w:val="0"/>
    <w:rPr>
      <w:rFonts w:hint="eastAsia" w:ascii="仿宋_GB2312" w:eastAsia="仿宋_GB2312" w:cs="仿宋_GB2312"/>
      <w:kern w:val="2"/>
      <w:sz w:val="32"/>
      <w:szCs w:val="24"/>
    </w:rPr>
  </w:style>
  <w:style w:type="character" w:customStyle="1" w:styleId="33">
    <w:name w:val="页脚 Char"/>
    <w:basedOn w:val="24"/>
    <w:link w:val="15"/>
    <w:qFormat/>
    <w:uiPriority w:val="0"/>
    <w:rPr>
      <w:rFonts w:hint="eastAsia" w:ascii="仿宋_GB2312" w:eastAsia="仿宋_GB2312" w:cs="仿宋_GB2312"/>
      <w:kern w:val="2"/>
      <w:sz w:val="18"/>
      <w:szCs w:val="24"/>
    </w:rPr>
  </w:style>
  <w:style w:type="character" w:customStyle="1" w:styleId="34">
    <w:name w:val="font21"/>
    <w:basedOn w:val="24"/>
    <w:qFormat/>
    <w:uiPriority w:val="0"/>
    <w:rPr>
      <w:rFonts w:hint="eastAsia" w:ascii="方正仿宋_GBK" w:hAnsi="方正仿宋_GBK" w:eastAsia="方正仿宋_GBK" w:cs="方正仿宋_GBK"/>
      <w:color w:val="000000"/>
      <w:sz w:val="20"/>
      <w:szCs w:val="20"/>
      <w:u w:val="none"/>
    </w:rPr>
  </w:style>
  <w:style w:type="character" w:customStyle="1" w:styleId="35">
    <w:name w:val="p0 Char Char"/>
    <w:basedOn w:val="24"/>
    <w:qFormat/>
    <w:uiPriority w:val="0"/>
    <w:rPr>
      <w:sz w:val="21"/>
      <w:szCs w:val="21"/>
    </w:rPr>
  </w:style>
  <w:style w:type="character" w:customStyle="1" w:styleId="36">
    <w:name w:val="正文文本 Char"/>
    <w:basedOn w:val="24"/>
    <w:link w:val="9"/>
    <w:qFormat/>
    <w:uiPriority w:val="0"/>
    <w:rPr>
      <w:rFonts w:hint="default" w:ascii="Calibri" w:hAnsi="Calibri" w:cs="Calibri"/>
      <w:kern w:val="2"/>
      <w:sz w:val="48"/>
      <w:szCs w:val="24"/>
    </w:rPr>
  </w:style>
  <w:style w:type="character" w:customStyle="1" w:styleId="37">
    <w:name w:val="page number"/>
    <w:basedOn w:val="24"/>
    <w:qFormat/>
    <w:uiPriority w:val="0"/>
  </w:style>
  <w:style w:type="paragraph" w:customStyle="1" w:styleId="38">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仿宋_GB2312" w:hAnsi="Calibri" w:eastAsia="仿宋_GB2312" w:cs="仿宋_GB2312"/>
      <w:color w:val="000000"/>
      <w:kern w:val="0"/>
      <w:sz w:val="24"/>
      <w:szCs w:val="24"/>
      <w:lang w:val="en-US" w:eastAsia="zh-CN" w:bidi="ar"/>
    </w:rPr>
  </w:style>
  <w:style w:type="character" w:customStyle="1" w:styleId="39">
    <w:name w:val="页眉 Char1"/>
    <w:basedOn w:val="24"/>
    <w:link w:val="17"/>
    <w:qFormat/>
    <w:uiPriority w:val="0"/>
    <w:rPr>
      <w:rFonts w:hint="eastAsia" w:ascii="仿宋_GB2312" w:eastAsia="仿宋_GB2312" w:cs="仿宋_GB2312"/>
      <w:kern w:val="2"/>
      <w:sz w:val="18"/>
      <w:szCs w:val="18"/>
    </w:rPr>
  </w:style>
  <w:style w:type="paragraph" w:customStyle="1" w:styleId="40">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仿宋_GB2312" w:cs="Times New Roman"/>
      <w:kern w:val="2"/>
      <w:sz w:val="32"/>
      <w:szCs w:val="24"/>
      <w:lang w:val="en-US" w:eastAsia="zh-CN" w:bidi="ar"/>
    </w:rPr>
  </w:style>
  <w:style w:type="paragraph" w:customStyle="1" w:styleId="41">
    <w:name w:val="Normal (Web)"/>
    <w:basedOn w:val="1"/>
    <w:qFormat/>
    <w:uiPriority w:val="0"/>
    <w:pPr>
      <w:widowControl/>
      <w:spacing w:beforeAutospacing="1" w:afterAutospacing="1"/>
      <w:jc w:val="left"/>
    </w:pPr>
    <w:rPr>
      <w:rFonts w:ascii="宋体" w:hAnsi="宋体" w:eastAsia="宋体" w:cs="宋体"/>
      <w:kern w:val="0"/>
      <w:sz w:val="24"/>
    </w:rPr>
  </w:style>
  <w:style w:type="paragraph" w:customStyle="1" w:styleId="42">
    <w:name w:val="Body text|4"/>
    <w:basedOn w:val="1"/>
    <w:qFormat/>
    <w:uiPriority w:val="0"/>
    <w:pPr>
      <w:shd w:val="clear" w:color="auto" w:fill="FFFFFF"/>
      <w:spacing w:after="700" w:line="571" w:lineRule="exact"/>
      <w:jc w:val="center"/>
    </w:pPr>
    <w:rPr>
      <w:rFonts w:ascii="PMingLiU" w:hAnsi="PMingLiU" w:eastAsia="PMingLiU" w:cs="PMingLiU"/>
      <w:sz w:val="34"/>
      <w:szCs w:val="3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1623</Words>
  <Characters>1657</Characters>
  <Lines>1</Lines>
  <Paragraphs>1</Paragraphs>
  <TotalTime>8</TotalTime>
  <ScaleCrop>false</ScaleCrop>
  <LinksUpToDate>false</LinksUpToDate>
  <CharactersWithSpaces>1716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2026-01-09T02:45:27Z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A2C44226C050460DAB87798A9A7982CF_13</vt:lpwstr>
  </property>
  <property fmtid="{D5CDD505-2E9C-101B-9397-08002B2CF9AE}" pid="4" name="KSOTemplateDocerSaveRecord">
    <vt:lpwstr>eyJoZGlkIjoiNTRjM2ZiZTcxNDE3YmQ4MTFjMDU3MzA0ZTNlYTUxNzciLCJ1c2VySWQiOiIyMDk3NzA1NDkifQ==</vt:lpwstr>
  </property>
</Properties>
</file>