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bidi w:val="0"/>
        <w:spacing w:line="600" w:lineRule="atLeast"/>
        <w:ind w:left="0" w:leftChars="0" w:right="0" w:rightChars="0"/>
        <w:jc w:val="center"/>
        <w:textAlignment w:val="auto"/>
        <w:rPr>
          <w:rFonts w:hint="eastAsia" w:ascii="方正仿宋_GBK" w:hAnsi="方正仿宋_GBK" w:eastAsia="方正仿宋_GBK" w:cs="方正仿宋_GBK"/>
          <w:sz w:val="32"/>
          <w:szCs w:val="32"/>
          <w:lang w:eastAsia="zh-CN"/>
        </w:rPr>
      </w:pPr>
    </w:p>
    <w:p>
      <w:pPr>
        <w:keepNext w:val="0"/>
        <w:keepLines w:val="0"/>
        <w:pageBreakBefore w:val="0"/>
        <w:kinsoku/>
        <w:overflowPunct/>
        <w:topLinePunct w:val="0"/>
        <w:bidi w:val="0"/>
        <w:spacing w:line="600" w:lineRule="atLeast"/>
        <w:ind w:left="0" w:leftChars="0" w:right="0" w:rightChars="0"/>
        <w:jc w:val="center"/>
        <w:textAlignment w:val="auto"/>
        <w:rPr>
          <w:rFonts w:hint="eastAsia" w:ascii="方正仿宋_GBK" w:hAnsi="方正仿宋_GBK" w:eastAsia="方正仿宋_GBK" w:cs="方正仿宋_GBK"/>
          <w:sz w:val="32"/>
          <w:szCs w:val="32"/>
          <w:lang w:eastAsia="zh-CN"/>
        </w:rPr>
      </w:pPr>
      <w:r>
        <w:rPr>
          <w:rFonts w:hint="eastAsia" w:ascii="方正仿宋_GBK" w:hAnsi="方正仿宋_GBK" w:eastAsia="方正仿宋_GBK" w:cs="方正仿宋_GBK"/>
          <w:sz w:val="32"/>
          <w:szCs w:val="32"/>
          <w:lang w:eastAsia="zh-CN"/>
        </w:rPr>
        <w:t xml:space="preserve"> </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jc w:val="center"/>
        <w:textAlignment w:val="auto"/>
        <w:rPr>
          <w:rStyle w:val="11"/>
          <w:rFonts w:hint="eastAsia" w:ascii="方正小标宋_GBK" w:hAnsi="方正小标宋_GBK" w:eastAsia="方正小标宋_GBK" w:cs="方正小标宋_GBK"/>
          <w:b w:val="0"/>
          <w:kern w:val="2"/>
          <w:sz w:val="44"/>
          <w:szCs w:val="44"/>
          <w:shd w:val="clear" w:color="auto" w:fill="FFFFFF"/>
          <w:lang w:val="en-US" w:eastAsia="zh-CN" w:bidi="ar-SA"/>
        </w:rPr>
      </w:pPr>
      <w:r>
        <w:rPr>
          <w:rStyle w:val="11"/>
          <w:rFonts w:hint="eastAsia" w:ascii="方正小标宋_GBK" w:hAnsi="方正小标宋_GBK" w:eastAsia="方正小标宋_GBK" w:cs="方正小标宋_GBK"/>
          <w:b w:val="0"/>
          <w:kern w:val="2"/>
          <w:sz w:val="44"/>
          <w:szCs w:val="44"/>
          <w:shd w:val="clear" w:color="auto" w:fill="FFFFFF"/>
          <w:lang w:val="en-US" w:eastAsia="zh-CN" w:bidi="ar-SA"/>
        </w:rPr>
        <w:t>重庆市南川区民政局</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jc w:val="center"/>
        <w:textAlignment w:val="auto"/>
        <w:rPr>
          <w:rStyle w:val="11"/>
          <w:rFonts w:hint="eastAsia" w:ascii="方正小标宋_GBK" w:hAnsi="方正小标宋_GBK" w:eastAsia="方正小标宋_GBK" w:cs="方正小标宋_GBK"/>
          <w:b w:val="0"/>
          <w:kern w:val="2"/>
          <w:sz w:val="44"/>
          <w:szCs w:val="44"/>
          <w:shd w:val="clear" w:color="auto" w:fill="FFFFFF"/>
          <w:lang w:val="en-US" w:eastAsia="zh-CN" w:bidi="ar-SA"/>
        </w:rPr>
      </w:pPr>
      <w:r>
        <w:rPr>
          <w:rStyle w:val="11"/>
          <w:rFonts w:hint="eastAsia" w:ascii="方正小标宋_GBK" w:hAnsi="方正小标宋_GBK" w:eastAsia="方正小标宋_GBK" w:cs="方正小标宋_GBK"/>
          <w:b w:val="0"/>
          <w:kern w:val="2"/>
          <w:sz w:val="44"/>
          <w:szCs w:val="44"/>
          <w:shd w:val="clear" w:color="auto" w:fill="FFFFFF"/>
          <w:lang w:val="en-US" w:eastAsia="zh-CN" w:bidi="ar-SA"/>
        </w:rPr>
        <w:t>关于进一步强化安全生产责任切实落实国务院</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jc w:val="center"/>
        <w:textAlignment w:val="auto"/>
        <w:rPr>
          <w:rStyle w:val="11"/>
          <w:rFonts w:hint="eastAsia" w:ascii="方正小标宋_GBK" w:hAnsi="方正小标宋_GBK" w:eastAsia="方正小标宋_GBK" w:cs="方正小标宋_GBK"/>
          <w:b w:val="0"/>
          <w:kern w:val="2"/>
          <w:sz w:val="44"/>
          <w:szCs w:val="44"/>
          <w:shd w:val="clear" w:color="auto" w:fill="FFFFFF"/>
          <w:lang w:val="en-US" w:eastAsia="zh-CN" w:bidi="ar-SA"/>
        </w:rPr>
      </w:pPr>
      <w:r>
        <w:rPr>
          <w:rStyle w:val="11"/>
          <w:rFonts w:hint="eastAsia" w:ascii="方正小标宋_GBK" w:hAnsi="方正小标宋_GBK" w:eastAsia="方正小标宋_GBK" w:cs="方正小标宋_GBK"/>
          <w:b w:val="0"/>
          <w:kern w:val="2"/>
          <w:sz w:val="44"/>
          <w:szCs w:val="44"/>
          <w:shd w:val="clear" w:color="auto" w:fill="FFFFFF"/>
          <w:lang w:val="en-US" w:eastAsia="zh-CN" w:bidi="ar-SA"/>
        </w:rPr>
        <w:t>安委会加强安全生产工作“十五条硬措施”的通知</w:t>
      </w:r>
    </w:p>
    <w:p>
      <w:pPr>
        <w:pStyle w:val="13"/>
        <w:spacing w:line="520" w:lineRule="exact"/>
        <w:rPr>
          <w:rFonts w:hint="default" w:ascii="Times New Roman" w:hAnsi="Times New Roman" w:eastAsia="方正仿宋_GBK" w:cs="Times New Roman"/>
          <w:i w:val="0"/>
          <w:caps w:val="0"/>
          <w:color w:val="auto"/>
          <w:spacing w:val="0"/>
          <w:sz w:val="44"/>
          <w:szCs w:val="44"/>
          <w:shd w:val="clear" w:fill="FFFFFF"/>
          <w:lang w:eastAsia="zh-CN"/>
        </w:rPr>
      </w:pPr>
      <w:r>
        <w:rPr>
          <w:rFonts w:hint="default" w:ascii="Times New Roman" w:hAnsi="Times New Roman" w:cs="Times New Roman"/>
        </w:rPr>
        <w:t>南川民发〔202</w:t>
      </w:r>
      <w:r>
        <w:rPr>
          <w:rFonts w:hint="default" w:ascii="Times New Roman" w:hAnsi="Times New Roman" w:cs="Times New Roman"/>
          <w:lang w:val="en-US" w:eastAsia="zh-CN"/>
        </w:rPr>
        <w:t>2</w:t>
      </w:r>
      <w:r>
        <w:rPr>
          <w:rFonts w:hint="default" w:ascii="Times New Roman" w:hAnsi="Times New Roman" w:cs="Times New Roman"/>
        </w:rPr>
        <w:t>〕</w:t>
      </w:r>
      <w:r>
        <w:rPr>
          <w:rFonts w:hint="eastAsia" w:cs="Times New Roman"/>
          <w:lang w:val="en-US" w:eastAsia="zh-CN"/>
        </w:rPr>
        <w:t>69</w:t>
      </w:r>
      <w:r>
        <w:rPr>
          <w:rFonts w:hint="default" w:ascii="Times New Roman" w:hAnsi="Times New Roman" w:cs="Times New Roman"/>
        </w:rPr>
        <w:t>号</w:t>
      </w:r>
    </w:p>
    <w:p>
      <w:pPr>
        <w:keepNext w:val="0"/>
        <w:keepLines w:val="0"/>
        <w:pageBreakBefore w:val="0"/>
        <w:kinsoku/>
        <w:overflowPunct/>
        <w:topLinePunct w:val="0"/>
        <w:bidi w:val="0"/>
        <w:spacing w:line="600" w:lineRule="atLeast"/>
        <w:ind w:left="0" w:leftChars="0" w:right="0" w:rightChars="0"/>
        <w:jc w:val="center"/>
        <w:textAlignment w:val="auto"/>
        <w:rPr>
          <w:rFonts w:hint="eastAsia" w:ascii="宋体" w:hAnsi="宋体" w:eastAsia="宋体" w:cs="宋体"/>
          <w:i w:val="0"/>
          <w:caps w:val="0"/>
          <w:color w:val="auto"/>
          <w:spacing w:val="0"/>
          <w:sz w:val="44"/>
          <w:szCs w:val="44"/>
          <w:shd w:val="clear" w:fill="FFFFFF"/>
          <w:lang w:val="en-US" w:eastAsia="zh-CN"/>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各乡镇（街道）民政办，各社会养老机构，机关有关科室、局属事业单位：</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rPr>
        <w:t>为深入贯彻落实习近平总书记关于安全生产重要论述和党中央、国务院决策部署，认真落实全国安全生产电视电话会议工作要求，按照市委、市政府工作安排，现就进一步强化安全生产责任，切实落实</w:t>
      </w:r>
      <w:r>
        <w:rPr>
          <w:rFonts w:hint="default" w:ascii="Times New Roman" w:hAnsi="Times New Roman" w:eastAsia="方正仿宋_GBK" w:cs="Times New Roman"/>
          <w:color w:val="auto"/>
          <w:sz w:val="32"/>
          <w:szCs w:val="32"/>
          <w:highlight w:val="none"/>
          <w:shd w:val="clear" w:color="auto" w:fill="auto"/>
        </w:rPr>
        <w:t>国务院安委会加强安全生产工作“十五条硬措施”</w:t>
      </w:r>
      <w:r>
        <w:rPr>
          <w:rFonts w:hint="default" w:ascii="Times New Roman" w:hAnsi="Times New Roman" w:eastAsia="方正仿宋_GBK" w:cs="Times New Roman"/>
          <w:sz w:val="32"/>
          <w:szCs w:val="32"/>
          <w:highlight w:val="none"/>
        </w:rPr>
        <w:t>（以下简称“十五条硬措施”）有关事项通知如下：</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sz w:val="32"/>
          <w:szCs w:val="32"/>
          <w:highlight w:val="none"/>
        </w:rPr>
      </w:pPr>
      <w:r>
        <w:rPr>
          <w:rFonts w:hint="eastAsia" w:ascii="方正黑体_GBK" w:hAnsi="方正黑体_GBK" w:eastAsia="方正黑体_GBK" w:cs="方正黑体_GBK"/>
          <w:sz w:val="32"/>
          <w:szCs w:val="32"/>
          <w:highlight w:val="none"/>
        </w:rPr>
        <w:t>一、深刻领会总体要求</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近年来，我局安全发展形势整体平稳可控，但一般事故多点露头，暴露出我们工作中还存在明显漏洞和薄弱环节。各单位要坚持以习近平新时代中国特色社会主义思想为指导，深学笃用习近平总书记关于安全生产重要论述，深刻认识安全生产与自然灾害防治工作面临的严峻复杂形势，牢固树立安全发展理念，压实安全生产责任，全面落实“十五条硬措施”，严格管控重大风险，严肃整治重大隐患，发动各方面力量稳控安全发展形势，以实干实绩</w:t>
      </w:r>
      <w:r>
        <w:rPr>
          <w:rFonts w:hint="default" w:ascii="Times New Roman" w:hAnsi="Times New Roman" w:eastAsia="方正仿宋_GBK" w:cs="Times New Roman"/>
          <w:color w:val="auto"/>
          <w:sz w:val="32"/>
          <w:szCs w:val="32"/>
          <w:highlight w:val="none"/>
        </w:rPr>
        <w:t>迎接党的二十大</w:t>
      </w:r>
      <w:r>
        <w:rPr>
          <w:rFonts w:hint="default" w:ascii="Times New Roman" w:hAnsi="Times New Roman" w:eastAsia="方正仿宋_GBK" w:cs="Times New Roman"/>
          <w:sz w:val="32"/>
          <w:szCs w:val="32"/>
          <w:highlight w:val="none"/>
        </w:rPr>
        <w:t>和市第六次党代会胜利召开。</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sz w:val="32"/>
          <w:szCs w:val="32"/>
          <w:highlight w:val="none"/>
        </w:rPr>
      </w:pPr>
      <w:r>
        <w:rPr>
          <w:rFonts w:hint="eastAsia" w:ascii="方正黑体_GBK" w:hAnsi="方正黑体_GBK" w:eastAsia="方正黑体_GBK" w:cs="方正黑体_GBK"/>
          <w:sz w:val="32"/>
          <w:szCs w:val="32"/>
          <w:highlight w:val="none"/>
        </w:rPr>
        <w:t>二、准确把握目标任务</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highlight w:val="none"/>
        </w:rPr>
      </w:pPr>
      <w:r>
        <w:rPr>
          <w:rFonts w:hint="default" w:ascii="Times New Roman" w:hAnsi="Times New Roman" w:eastAsia="方正仿宋_GBK" w:cs="Times New Roman"/>
          <w:sz w:val="32"/>
          <w:szCs w:val="32"/>
          <w:highlight w:val="none"/>
        </w:rPr>
        <w:t>国务院安委会梳理相关法律法规已有规定、以往管用举措和近年来针对新情况采取的有效措施，制定下发了</w:t>
      </w:r>
      <w:r>
        <w:rPr>
          <w:rFonts w:hint="eastAsia" w:ascii="Times New Roman" w:hAnsi="Times New Roman" w:eastAsia="方正仿宋_GBK" w:cs="Times New Roman"/>
          <w:sz w:val="32"/>
          <w:szCs w:val="32"/>
          <w:highlight w:val="none"/>
          <w:lang w:eastAsia="zh-CN"/>
        </w:rPr>
        <w:t>《</w:t>
      </w:r>
      <w:r>
        <w:rPr>
          <w:rFonts w:hint="default" w:ascii="Times New Roman" w:hAnsi="Times New Roman" w:eastAsia="方正仿宋_GBK" w:cs="Times New Roman"/>
          <w:sz w:val="32"/>
          <w:szCs w:val="32"/>
          <w:highlight w:val="none"/>
        </w:rPr>
        <w:t>安全生产责任落实坚决防范遏制重特大事故发生的若干措施》（安委〔2022〕6号），明确了“十五条硬措施”。我局结合工作实际，对“十五条硬措施”进行了任务分解，形成42项重点任务（见附件1）。同时，我局将安全监管“十条措施”细化为22条具体实施办法（见附件2）。各单位要认真对照42项重点任务和22条具体实施办法，有针对性地进行安排部署，全面滚动排查整治，以最高标准、最严要求、最细措施，不折不扣逐项狠抓落实。</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sz w:val="32"/>
          <w:szCs w:val="32"/>
          <w:highlight w:val="none"/>
        </w:rPr>
      </w:pPr>
      <w:r>
        <w:rPr>
          <w:rFonts w:hint="eastAsia" w:ascii="方正黑体_GBK" w:hAnsi="方正黑体_GBK" w:eastAsia="方正黑体_GBK" w:cs="方正黑体_GBK"/>
          <w:sz w:val="32"/>
          <w:szCs w:val="32"/>
          <w:highlight w:val="none"/>
        </w:rPr>
        <w:t>三、深入开展安全生产大检查</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highlight w:val="none"/>
        </w:rPr>
        <w:t>按照《国务院安委会关于全国安全生产大检查工作的通知》（安委明电〔2022〕2号）整体部署，紧密结合安全生产专项整治三年行动和年度任务目标，精准</w:t>
      </w:r>
      <w:r>
        <w:rPr>
          <w:rFonts w:hint="default" w:ascii="Times New Roman" w:hAnsi="Times New Roman" w:eastAsia="方正仿宋_GBK" w:cs="Times New Roman"/>
          <w:sz w:val="32"/>
          <w:szCs w:val="32"/>
        </w:rPr>
        <w:t>制定工作方案，统筹抓好安全生产大检查。单位要始终保持如履薄冰的高度警觉，把大检查有关要求落到实处，进一步强化安全生产红线意识，全面排查民政领域安全风险隐患，精准发现和严厉打击各类非法违法行为，坚决防范遏制重特大事故发生，切实维护人民生命财产安全。</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eastAsia" w:ascii="方正黑体_GBK" w:hAnsi="方正黑体_GBK" w:eastAsia="方正黑体_GBK" w:cs="方正黑体_GBK"/>
          <w:sz w:val="32"/>
          <w:szCs w:val="32"/>
        </w:rPr>
      </w:pPr>
      <w:r>
        <w:rPr>
          <w:rFonts w:hint="eastAsia" w:ascii="方正黑体_GBK" w:hAnsi="方正黑体_GBK" w:eastAsia="方正黑体_GBK" w:cs="方正黑体_GBK"/>
          <w:sz w:val="32"/>
          <w:szCs w:val="32"/>
        </w:rPr>
        <w:t>四、全面推动工作落地见效</w:t>
      </w:r>
    </w:p>
    <w:p>
      <w:pPr>
        <w:keepNext w:val="0"/>
        <w:keepLines w:val="0"/>
        <w:pageBreakBefore w:val="0"/>
        <w:widowControl w:val="0"/>
        <w:kinsoku/>
        <w:wordWrap/>
        <w:overflowPunct/>
        <w:topLinePunct w:val="0"/>
        <w:autoSpaceDE/>
        <w:autoSpaceDN/>
        <w:bidi w:val="0"/>
        <w:adjustRightInd/>
        <w:snapToGrid/>
        <w:spacing w:line="560" w:lineRule="exact"/>
        <w:ind w:firstLine="640" w:firstLineChars="2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各单位要认真落实地方党政领导干部安全生产责任制规定，主要负责人要率先垂范、亲力亲为，分管负责人要具体推动、狠抓落实，切实做到守土有责、守土负责、守土尽责。确保“十五条硬措施”落实见效。</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ind w:left="1920" w:hanging="1920" w:hangingChars="6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附件：1.重庆市南川区民政局落实“十五条硬措施”重点任务分工</w:t>
      </w:r>
    </w:p>
    <w:p>
      <w:pPr>
        <w:keepNext w:val="0"/>
        <w:keepLines w:val="0"/>
        <w:pageBreakBefore w:val="0"/>
        <w:widowControl w:val="0"/>
        <w:kinsoku/>
        <w:wordWrap/>
        <w:overflowPunct/>
        <w:topLinePunct w:val="0"/>
        <w:autoSpaceDE/>
        <w:autoSpaceDN/>
        <w:bidi w:val="0"/>
        <w:adjustRightInd/>
        <w:snapToGrid/>
        <w:spacing w:line="560" w:lineRule="exact"/>
        <w:ind w:left="1916" w:leftChars="760" w:hanging="320" w:hangingChars="100"/>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2.重庆市南川区民政局落实安全监管“十条措施” 责任分工</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2"/>
          <w:szCs w:val="32"/>
        </w:rPr>
      </w:pP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重庆市南川区民政局</w:t>
      </w:r>
    </w:p>
    <w:p>
      <w:pPr>
        <w:keepNext w:val="0"/>
        <w:keepLines w:val="0"/>
        <w:pageBreakBefore w:val="0"/>
        <w:widowControl w:val="0"/>
        <w:kinsoku/>
        <w:wordWrap/>
        <w:overflowPunct/>
        <w:topLinePunct w:val="0"/>
        <w:autoSpaceDE/>
        <w:autoSpaceDN/>
        <w:bidi w:val="0"/>
        <w:adjustRightInd/>
        <w:snapToGrid/>
        <w:spacing w:line="560" w:lineRule="exact"/>
        <w:textAlignment w:val="auto"/>
        <w:rPr>
          <w:rFonts w:hint="default" w:ascii="Times New Roman" w:hAnsi="Times New Roman" w:eastAsia="方正仿宋_GBK" w:cs="Times New Roman"/>
          <w:sz w:val="32"/>
          <w:szCs w:val="32"/>
        </w:rPr>
      </w:pPr>
      <w:r>
        <w:rPr>
          <w:rFonts w:hint="default" w:ascii="Times New Roman" w:hAnsi="Times New Roman" w:eastAsia="方正仿宋_GBK" w:cs="Times New Roman"/>
          <w:sz w:val="32"/>
          <w:szCs w:val="32"/>
        </w:rPr>
        <w:t xml:space="preserve">                  </w:t>
      </w:r>
      <w:r>
        <w:rPr>
          <w:rFonts w:hint="eastAsia" w:ascii="Times New Roman" w:hAnsi="Times New Roman" w:eastAsia="方正仿宋_GBK" w:cs="Times New Roman"/>
          <w:sz w:val="32"/>
          <w:szCs w:val="32"/>
          <w:lang w:val="en-US" w:eastAsia="zh-CN"/>
        </w:rPr>
        <w:t xml:space="preserve">              </w:t>
      </w:r>
      <w:r>
        <w:rPr>
          <w:rFonts w:hint="default" w:ascii="Times New Roman" w:hAnsi="Times New Roman" w:eastAsia="方正仿宋_GBK" w:cs="Times New Roman"/>
          <w:sz w:val="32"/>
          <w:szCs w:val="32"/>
        </w:rPr>
        <w:t xml:space="preserve"> 2022年5月9日</w:t>
      </w: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textAlignment w:val="auto"/>
        <w:rPr>
          <w:rFonts w:hint="eastAsia" w:ascii="黑体" w:hAnsi="黑体" w:eastAsia="黑体" w:cs="黑体"/>
          <w:i w:val="0"/>
          <w:caps w:val="0"/>
          <w:color w:val="333333"/>
          <w:spacing w:val="0"/>
          <w:sz w:val="32"/>
          <w:szCs w:val="32"/>
          <w:shd w:val="clear" w:fill="FFFFFF"/>
          <w:lang w:val="en-US" w:eastAsia="zh-CN"/>
        </w:rPr>
      </w:pPr>
    </w:p>
    <w:p>
      <w:pPr>
        <w:pStyle w:val="8"/>
        <w:keepNext w:val="0"/>
        <w:keepLines w:val="0"/>
        <w:pageBreakBefore w:val="0"/>
        <w:widowControl/>
        <w:suppressLineNumbers w:val="0"/>
        <w:shd w:val="clear" w:fill="FFFFFF"/>
        <w:kinsoku/>
        <w:overflowPunct/>
        <w:topLinePunct w:val="0"/>
        <w:bidi w:val="0"/>
        <w:spacing w:line="600" w:lineRule="atLeast"/>
        <w:ind w:right="0" w:rightChars="0"/>
        <w:jc w:val="both"/>
        <w:textAlignment w:val="auto"/>
        <w:rPr>
          <w:rFonts w:hint="eastAsia" w:ascii="方正仿宋_GBK" w:hAnsi="方正仿宋_GBK" w:eastAsia="方正仿宋_GBK" w:cs="方正仿宋_GBK"/>
          <w:kern w:val="0"/>
          <w:sz w:val="32"/>
          <w:szCs w:val="32"/>
          <w:shd w:val="clear" w:color="auto" w:fill="FFFFFF"/>
          <w:lang w:val="en-US" w:eastAsia="zh-CN" w:bidi="ar-SA"/>
        </w:rPr>
      </w:pPr>
    </w:p>
    <w:p>
      <w:pPr>
        <w:keepNext w:val="0"/>
        <w:keepLines w:val="0"/>
        <w:pageBreakBefore w:val="0"/>
        <w:kinsoku/>
        <w:overflowPunct/>
        <w:topLinePunct w:val="0"/>
        <w:bidi w:val="0"/>
        <w:spacing w:line="600" w:lineRule="atLeast"/>
        <w:ind w:left="0" w:leftChars="0" w:right="0" w:rightChars="0"/>
        <w:jc w:val="center"/>
        <w:textAlignment w:val="auto"/>
        <w:rPr>
          <w:rFonts w:hint="eastAsia" w:ascii="方正小标宋_GBK" w:hAnsi="方正小标宋_GBK" w:eastAsia="方正小标宋_GBK" w:cs="方正小标宋_GBK"/>
          <w:kern w:val="0"/>
          <w:sz w:val="44"/>
          <w:szCs w:val="44"/>
          <w:shd w:val="clear" w:color="auto" w:fill="FFFFFF"/>
          <w:lang w:val="en-US" w:eastAsia="zh-CN" w:bidi="ar-SA"/>
        </w:rPr>
      </w:pPr>
    </w:p>
    <w:p>
      <w:pPr>
        <w:keepNext w:val="0"/>
        <w:keepLines w:val="0"/>
        <w:pageBreakBefore w:val="0"/>
        <w:widowControl w:val="0"/>
        <w:kinsoku/>
        <w:wordWrap w:val="0"/>
        <w:overflowPunct/>
        <w:topLinePunct w:val="0"/>
        <w:autoSpaceDE/>
        <w:autoSpaceDN/>
        <w:bidi w:val="0"/>
        <w:adjustRightInd/>
        <w:snapToGrid/>
        <w:spacing w:line="600" w:lineRule="atLeast"/>
        <w:ind w:left="0" w:leftChars="0" w:right="0" w:rightChars="0" w:firstLine="640" w:firstLineChars="200"/>
        <w:jc w:val="right"/>
        <w:textAlignment w:val="auto"/>
        <w:outlineLvl w:val="9"/>
        <w:rPr>
          <w:rFonts w:hint="default" w:ascii="方正仿宋_GBK" w:hAnsi="方正仿宋_GBK" w:eastAsia="方正仿宋_GBK" w:cs="方正仿宋_GBK"/>
          <w:kern w:val="0"/>
          <w:sz w:val="32"/>
          <w:szCs w:val="32"/>
          <w:shd w:val="clear" w:color="auto" w:fill="FFFFFF"/>
          <w:lang w:eastAsia="zh-CN" w:bidi="ar-SA"/>
        </w:rPr>
      </w:pPr>
      <w:r>
        <w:rPr>
          <w:rFonts w:hint="default" w:ascii="方正仿宋_GBK" w:hAnsi="方正仿宋_GBK" w:eastAsia="方正仿宋_GBK" w:cs="方正仿宋_GBK"/>
          <w:kern w:val="0"/>
          <w:sz w:val="32"/>
          <w:szCs w:val="32"/>
          <w:shd w:val="clear" w:color="auto" w:fill="FFFFFF"/>
          <w:lang w:eastAsia="zh-CN" w:bidi="ar-SA"/>
        </w:rPr>
        <w:t xml:space="preserve">    </w:t>
      </w:r>
    </w:p>
    <w:p>
      <w:pPr>
        <w:keepNext w:val="0"/>
        <w:keepLines w:val="0"/>
        <w:pageBreakBefore w:val="0"/>
        <w:widowControl w:val="0"/>
        <w:kinsoku/>
        <w:wordWrap w:val="0"/>
        <w:overflowPunct/>
        <w:topLinePunct w:val="0"/>
        <w:autoSpaceDE/>
        <w:autoSpaceDN/>
        <w:bidi w:val="0"/>
        <w:adjustRightInd/>
        <w:snapToGrid/>
        <w:spacing w:line="600" w:lineRule="atLeast"/>
        <w:ind w:left="0" w:leftChars="0" w:right="0" w:rightChars="0" w:firstLine="640" w:firstLineChars="200"/>
        <w:jc w:val="right"/>
        <w:textAlignment w:val="auto"/>
        <w:outlineLvl w:val="9"/>
        <w:rPr>
          <w:rFonts w:hint="default" w:ascii="方正仿宋_GBK" w:hAnsi="方正仿宋_GBK" w:eastAsia="方正仿宋_GBK" w:cs="方正仿宋_GBK"/>
          <w:kern w:val="0"/>
          <w:sz w:val="32"/>
          <w:szCs w:val="32"/>
          <w:shd w:val="clear" w:color="auto" w:fill="FFFFFF"/>
          <w:lang w:eastAsia="zh-CN" w:bidi="ar-SA"/>
        </w:rPr>
      </w:pPr>
    </w:p>
    <w:p>
      <w:pPr>
        <w:keepNext w:val="0"/>
        <w:keepLines w:val="0"/>
        <w:pageBreakBefore w:val="0"/>
        <w:tabs>
          <w:tab w:val="left" w:pos="3735"/>
        </w:tabs>
        <w:kinsoku/>
        <w:overflowPunct/>
        <w:topLinePunct w:val="0"/>
        <w:bidi w:val="0"/>
        <w:spacing w:line="600" w:lineRule="atLeast"/>
        <w:ind w:left="0" w:leftChars="0" w:right="0" w:rightChars="0"/>
        <w:jc w:val="left"/>
        <w:textAlignment w:val="auto"/>
        <w:rPr>
          <w:rFonts w:hint="eastAsia" w:ascii="Times New Roman" w:hAnsi="Times New Roman" w:eastAsia="方正仿宋_GBK" w:cstheme="minorBidi"/>
          <w:kern w:val="0"/>
          <w:sz w:val="32"/>
          <w:szCs w:val="32"/>
          <w:shd w:val="clear" w:color="auto" w:fill="FFFFFF"/>
          <w:lang w:eastAsia="zh-CN" w:bidi="ar-SA"/>
        </w:rPr>
        <w:sectPr>
          <w:headerReference r:id="rId3" w:type="default"/>
          <w:footerReference r:id="rId4" w:type="default"/>
          <w:pgSz w:w="11906" w:h="16838"/>
          <w:pgMar w:top="1962" w:right="1474" w:bottom="1848" w:left="1587" w:header="851" w:footer="992" w:gutter="0"/>
          <w:pgNumType w:fmt="numberInDash" w:start="1"/>
          <w:cols w:space="0" w:num="1"/>
          <w:rtlGutter w:val="0"/>
          <w:docGrid w:type="lines" w:linePitch="316" w:charSpace="0"/>
        </w:sectPr>
      </w:pPr>
    </w:p>
    <w:tbl>
      <w:tblPr>
        <w:tblStyle w:val="9"/>
        <w:tblW w:w="13812"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690"/>
        <w:gridCol w:w="1110"/>
        <w:gridCol w:w="495"/>
        <w:gridCol w:w="6105"/>
        <w:gridCol w:w="2847"/>
        <w:gridCol w:w="2550"/>
        <w:gridCol w:w="15"/>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5" w:type="dxa"/>
          <w:trHeight w:val="435" w:hRule="atLeast"/>
          <w:jc w:val="center"/>
        </w:trPr>
        <w:tc>
          <w:tcPr>
            <w:tcW w:w="1800" w:type="dxa"/>
            <w:gridSpan w:val="2"/>
            <w:vAlign w:val="bottom"/>
          </w:tcPr>
          <w:p>
            <w:pPr>
              <w:keepNext w:val="0"/>
              <w:keepLines w:val="0"/>
              <w:pageBreakBefore w:val="0"/>
              <w:widowControl/>
              <w:kinsoku/>
              <w:wordWrap/>
              <w:overflowPunct/>
              <w:topLinePunct w:val="0"/>
              <w:autoSpaceDE/>
              <w:autoSpaceDN/>
              <w:bidi w:val="0"/>
              <w:adjustRightInd/>
              <w:snapToGrid/>
              <w:spacing w:line="600" w:lineRule="exact"/>
              <w:jc w:val="left"/>
              <w:textAlignment w:val="bottom"/>
              <w:rPr>
                <w:rFonts w:ascii="方正黑体_GBK" w:hAnsi="方正黑体_GBK" w:eastAsia="方正黑体_GBK" w:cs="方正黑体_GBK"/>
                <w:i w:val="0"/>
                <w:color w:val="000000"/>
                <w:sz w:val="32"/>
                <w:szCs w:val="32"/>
                <w:u w:val="none"/>
              </w:rPr>
            </w:pPr>
            <w:r>
              <w:rPr>
                <w:rFonts w:hint="eastAsia" w:ascii="方正黑体_GBK" w:hAnsi="方正黑体_GBK" w:eastAsia="方正黑体_GBK" w:cs="方正黑体_GBK"/>
                <w:i w:val="0"/>
                <w:color w:val="000000"/>
                <w:kern w:val="0"/>
                <w:sz w:val="32"/>
                <w:szCs w:val="32"/>
                <w:u w:val="none"/>
                <w:lang w:val="en-US" w:eastAsia="zh-CN" w:bidi="ar-SA"/>
              </w:rPr>
              <w:t>附件1</w:t>
            </w:r>
          </w:p>
        </w:tc>
        <w:tc>
          <w:tcPr>
            <w:tcW w:w="495" w:type="dxa"/>
            <w:vAlign w:val="center"/>
          </w:tcPr>
          <w:p>
            <w:pPr>
              <w:keepNext w:val="0"/>
              <w:keepLines w:val="0"/>
              <w:pageBreakBefore w:val="0"/>
              <w:kinsoku/>
              <w:wordWrap/>
              <w:overflowPunct/>
              <w:topLinePunct w:val="0"/>
              <w:autoSpaceDE/>
              <w:autoSpaceDN/>
              <w:bidi w:val="0"/>
              <w:adjustRightInd/>
              <w:snapToGrid/>
              <w:spacing w:line="600" w:lineRule="exact"/>
              <w:rPr>
                <w:rFonts w:hint="eastAsia" w:ascii="宋体" w:hAnsi="宋体" w:eastAsia="宋体" w:cs="宋体"/>
                <w:i w:val="0"/>
                <w:color w:val="000000"/>
                <w:sz w:val="22"/>
                <w:szCs w:val="22"/>
                <w:u w:val="none"/>
              </w:rPr>
            </w:pPr>
          </w:p>
        </w:tc>
        <w:tc>
          <w:tcPr>
            <w:tcW w:w="6105" w:type="dxa"/>
            <w:vAlign w:val="center"/>
          </w:tcPr>
          <w:p>
            <w:pPr>
              <w:keepNext w:val="0"/>
              <w:keepLines w:val="0"/>
              <w:pageBreakBefore w:val="0"/>
              <w:kinsoku/>
              <w:wordWrap/>
              <w:overflowPunct/>
              <w:topLinePunct w:val="0"/>
              <w:autoSpaceDE/>
              <w:autoSpaceDN/>
              <w:bidi w:val="0"/>
              <w:adjustRightInd/>
              <w:snapToGrid/>
              <w:spacing w:line="600" w:lineRule="exact"/>
              <w:rPr>
                <w:rFonts w:hint="eastAsia" w:ascii="宋体" w:hAnsi="宋体" w:eastAsia="宋体" w:cs="宋体"/>
                <w:i w:val="0"/>
                <w:color w:val="000000"/>
                <w:sz w:val="22"/>
                <w:szCs w:val="22"/>
                <w:u w:val="none"/>
              </w:rPr>
            </w:pPr>
          </w:p>
        </w:tc>
        <w:tc>
          <w:tcPr>
            <w:tcW w:w="5397" w:type="dxa"/>
            <w:gridSpan w:val="2"/>
            <w:vAlign w:val="center"/>
          </w:tcPr>
          <w:p>
            <w:pPr>
              <w:keepNext w:val="0"/>
              <w:keepLines w:val="0"/>
              <w:pageBreakBefore w:val="0"/>
              <w:kinsoku/>
              <w:wordWrap/>
              <w:overflowPunct/>
              <w:topLinePunct w:val="0"/>
              <w:autoSpaceDE/>
              <w:autoSpaceDN/>
              <w:bidi w:val="0"/>
              <w:adjustRightInd/>
              <w:snapToGrid/>
              <w:spacing w:line="600" w:lineRule="exact"/>
              <w:rPr>
                <w:rFonts w:hint="eastAsia" w:ascii="宋体" w:hAnsi="宋体" w:eastAsia="宋体" w:cs="宋体"/>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5" w:type="dxa"/>
          <w:trHeight w:val="330" w:hRule="atLeast"/>
          <w:jc w:val="center"/>
        </w:trPr>
        <w:tc>
          <w:tcPr>
            <w:tcW w:w="13797" w:type="dxa"/>
            <w:gridSpan w:val="6"/>
            <w:vAlign w:val="bottom"/>
          </w:tcPr>
          <w:p>
            <w:pPr>
              <w:keepNext w:val="0"/>
              <w:keepLines w:val="0"/>
              <w:pageBreakBefore w:val="0"/>
              <w:widowControl/>
              <w:kinsoku/>
              <w:wordWrap/>
              <w:overflowPunct/>
              <w:topLinePunct w:val="0"/>
              <w:autoSpaceDE/>
              <w:autoSpaceDN/>
              <w:bidi w:val="0"/>
              <w:adjustRightInd/>
              <w:snapToGrid/>
              <w:spacing w:line="600" w:lineRule="exact"/>
              <w:jc w:val="center"/>
              <w:textAlignment w:val="bottom"/>
              <w:rPr>
                <w:rFonts w:ascii="方正小标宋_GBK" w:hAnsi="方正小标宋_GBK" w:eastAsia="方正小标宋_GBK" w:cs="方正小标宋_GBK"/>
                <w:i w:val="0"/>
                <w:color w:val="000000"/>
                <w:sz w:val="28"/>
                <w:szCs w:val="28"/>
                <w:u w:val="none"/>
              </w:rPr>
            </w:pPr>
            <w:r>
              <w:rPr>
                <w:rFonts w:hint="eastAsia" w:ascii="方正小标宋_GBK" w:hAnsi="方正小标宋_GBK" w:eastAsia="方正小标宋_GBK" w:cs="方正小标宋_GBK"/>
                <w:i w:val="0"/>
                <w:color w:val="000000"/>
                <w:kern w:val="0"/>
                <w:sz w:val="44"/>
                <w:szCs w:val="44"/>
                <w:u w:val="none"/>
                <w:lang w:val="en-US" w:eastAsia="zh-CN" w:bidi="ar-SA"/>
              </w:rPr>
              <w:t>南川区民政局落实“安全生产15条硬性措施”重点任务分工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5" w:type="dxa"/>
          <w:trHeight w:val="315" w:hRule="atLeast"/>
          <w:jc w:val="center"/>
        </w:trPr>
        <w:tc>
          <w:tcPr>
            <w:tcW w:w="690"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hint="eastAsia" w:ascii="方正黑体_GBK" w:hAnsi="方正黑体_GBK" w:eastAsia="方正黑体_GBK" w:cs="方正黑体_GBK"/>
                <w:b w:val="0"/>
                <w:bCs/>
                <w:i w:val="0"/>
                <w:color w:val="000000"/>
                <w:sz w:val="24"/>
                <w:szCs w:val="24"/>
                <w:u w:val="none"/>
              </w:rPr>
            </w:pPr>
            <w:r>
              <w:rPr>
                <w:rFonts w:hint="eastAsia" w:ascii="方正黑体_GBK" w:hAnsi="方正黑体_GBK" w:eastAsia="方正黑体_GBK" w:cs="方正黑体_GBK"/>
                <w:b w:val="0"/>
                <w:bCs/>
                <w:i w:val="0"/>
                <w:color w:val="000000"/>
                <w:kern w:val="0"/>
                <w:sz w:val="24"/>
                <w:szCs w:val="24"/>
                <w:u w:val="none"/>
                <w:lang w:val="en-US" w:eastAsia="zh-CN" w:bidi="ar-SA"/>
              </w:rPr>
              <w:t>序号</w:t>
            </w:r>
          </w:p>
        </w:tc>
        <w:tc>
          <w:tcPr>
            <w:tcW w:w="1110"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hint="eastAsia" w:ascii="方正黑体_GBK" w:hAnsi="方正黑体_GBK" w:eastAsia="方正黑体_GBK" w:cs="方正黑体_GBK"/>
                <w:b w:val="0"/>
                <w:bCs/>
                <w:i w:val="0"/>
                <w:color w:val="000000"/>
                <w:sz w:val="24"/>
                <w:szCs w:val="24"/>
                <w:u w:val="none"/>
              </w:rPr>
            </w:pPr>
            <w:r>
              <w:rPr>
                <w:rFonts w:hint="eastAsia" w:ascii="方正黑体_GBK" w:hAnsi="方正黑体_GBK" w:eastAsia="方正黑体_GBK" w:cs="方正黑体_GBK"/>
                <w:b w:val="0"/>
                <w:bCs/>
                <w:i w:val="0"/>
                <w:color w:val="000000"/>
                <w:kern w:val="0"/>
                <w:sz w:val="24"/>
                <w:szCs w:val="24"/>
                <w:u w:val="none"/>
                <w:lang w:val="en-US" w:eastAsia="zh-CN" w:bidi="ar-SA"/>
              </w:rPr>
              <w:t>硬性措施</w:t>
            </w:r>
          </w:p>
        </w:tc>
        <w:tc>
          <w:tcPr>
            <w:tcW w:w="9447" w:type="dxa"/>
            <w:gridSpan w:val="3"/>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hint="eastAsia" w:ascii="方正黑体_GBK" w:hAnsi="方正黑体_GBK" w:eastAsia="方正黑体_GBK" w:cs="方正黑体_GBK"/>
                <w:b w:val="0"/>
                <w:bCs/>
                <w:i w:val="0"/>
                <w:color w:val="000000"/>
                <w:sz w:val="24"/>
                <w:szCs w:val="24"/>
                <w:u w:val="none"/>
              </w:rPr>
            </w:pPr>
            <w:r>
              <w:rPr>
                <w:rFonts w:hint="eastAsia" w:ascii="方正黑体_GBK" w:hAnsi="方正黑体_GBK" w:eastAsia="方正黑体_GBK" w:cs="方正黑体_GBK"/>
                <w:b w:val="0"/>
                <w:bCs/>
                <w:i w:val="0"/>
                <w:color w:val="000000"/>
                <w:kern w:val="0"/>
                <w:sz w:val="24"/>
                <w:szCs w:val="24"/>
                <w:u w:val="none"/>
                <w:lang w:val="en-US" w:eastAsia="zh-CN" w:bidi="ar-SA"/>
              </w:rPr>
              <w:t>重点任务</w:t>
            </w:r>
          </w:p>
        </w:tc>
        <w:tc>
          <w:tcPr>
            <w:tcW w:w="2550" w:type="dxa"/>
            <w:tcBorders>
              <w:top w:val="single" w:color="000000" w:sz="4" w:space="0"/>
              <w:left w:val="single" w:color="000000" w:sz="4" w:space="0"/>
              <w:bottom w:val="single" w:color="000000" w:sz="4" w:space="0"/>
              <w:right w:val="single" w:color="000000" w:sz="4" w:space="0"/>
            </w:tcBorders>
            <w:vAlign w:val="bottom"/>
          </w:tcPr>
          <w:p>
            <w:pPr>
              <w:widowControl/>
              <w:jc w:val="center"/>
              <w:textAlignment w:val="bottom"/>
              <w:rPr>
                <w:rFonts w:hint="eastAsia" w:ascii="方正黑体_GBK" w:hAnsi="方正黑体_GBK" w:eastAsia="方正黑体_GBK" w:cs="方正黑体_GBK"/>
                <w:b w:val="0"/>
                <w:bCs/>
                <w:i w:val="0"/>
                <w:color w:val="000000"/>
                <w:sz w:val="24"/>
                <w:szCs w:val="24"/>
                <w:u w:val="none"/>
              </w:rPr>
            </w:pPr>
            <w:r>
              <w:rPr>
                <w:rFonts w:hint="eastAsia" w:ascii="方正黑体_GBK" w:hAnsi="方正黑体_GBK" w:eastAsia="方正黑体_GBK" w:cs="方正黑体_GBK"/>
                <w:b w:val="0"/>
                <w:bCs/>
                <w:i w:val="0"/>
                <w:color w:val="000000"/>
                <w:kern w:val="0"/>
                <w:sz w:val="24"/>
                <w:szCs w:val="24"/>
                <w:u w:val="none"/>
                <w:lang w:val="en-US" w:eastAsia="zh-CN" w:bidi="ar-SA"/>
              </w:rPr>
              <w:t>责任单位和责任人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5" w:type="dxa"/>
          <w:trHeight w:val="510" w:hRule="atLeast"/>
          <w:jc w:val="center"/>
        </w:trPr>
        <w:tc>
          <w:tcPr>
            <w:tcW w:w="690"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SA"/>
              </w:rPr>
              <w:t>1</w:t>
            </w:r>
          </w:p>
        </w:tc>
        <w:tc>
          <w:tcPr>
            <w:tcW w:w="1110"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SA"/>
              </w:rPr>
              <w:t>严格落实地方党委安全生产责任；</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SA"/>
              </w:rPr>
              <w:t>1</w:t>
            </w:r>
          </w:p>
        </w:tc>
        <w:tc>
          <w:tcPr>
            <w:tcW w:w="8952"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SA"/>
              </w:rPr>
              <w:t>党组定期跟进学习贯彻习近平总书记关于安全生产重要论述、重要指示批示精神。</w:t>
            </w:r>
          </w:p>
        </w:tc>
        <w:tc>
          <w:tcPr>
            <w:tcW w:w="2550"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SA"/>
              </w:rPr>
              <w:t>区民政局：陈学军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5" w:type="dxa"/>
          <w:trHeight w:val="405" w:hRule="atLeast"/>
          <w:jc w:val="center"/>
        </w:trPr>
        <w:tc>
          <w:tcPr>
            <w:tcW w:w="690" w:type="dxa"/>
            <w:vMerge w:val="continue"/>
            <w:tcBorders>
              <w:top w:val="single" w:color="000000" w:sz="4" w:space="0"/>
              <w:left w:val="single" w:color="000000" w:sz="4" w:space="0"/>
              <w:right w:val="single" w:color="000000" w:sz="4" w:space="0"/>
            </w:tcBorders>
            <w:vAlign w:val="center"/>
          </w:tcPr>
          <w:p>
            <w:pPr>
              <w:jc w:val="center"/>
              <w:rPr>
                <w:rFonts w:hint="default" w:ascii="Times New Roman" w:hAnsi="Times New Roman" w:eastAsia="方正仿宋_GBK" w:cs="Times New Roman"/>
                <w:i w:val="0"/>
                <w:color w:val="000000"/>
                <w:sz w:val="18"/>
                <w:szCs w:val="18"/>
                <w:u w:val="none"/>
              </w:rPr>
            </w:pPr>
          </w:p>
        </w:tc>
        <w:tc>
          <w:tcPr>
            <w:tcW w:w="1110" w:type="dxa"/>
            <w:vMerge w:val="continue"/>
            <w:tcBorders>
              <w:top w:val="single" w:color="000000" w:sz="4" w:space="0"/>
              <w:left w:val="single" w:color="000000" w:sz="4" w:space="0"/>
              <w:right w:val="single" w:color="000000" w:sz="4" w:space="0"/>
            </w:tcBorders>
            <w:vAlign w:val="center"/>
          </w:tcPr>
          <w:p>
            <w:pPr>
              <w:jc w:val="center"/>
              <w:rPr>
                <w:rFonts w:hint="default" w:ascii="Times New Roman" w:hAnsi="Times New Roman" w:eastAsia="方正仿宋_GBK" w:cs="Times New Roman"/>
                <w:i w:val="0"/>
                <w:color w:val="000000"/>
                <w:sz w:val="18"/>
                <w:szCs w:val="18"/>
                <w:u w:val="none"/>
              </w:rPr>
            </w:pP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SA"/>
              </w:rPr>
              <w:t>2</w:t>
            </w:r>
          </w:p>
        </w:tc>
        <w:tc>
          <w:tcPr>
            <w:tcW w:w="8952"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SA"/>
              </w:rPr>
              <w:t>制定党组成员职责清单，将履行安全生产责任情况作为对有关领导干部考核、有关人选考察的重要内容。</w:t>
            </w:r>
          </w:p>
        </w:tc>
        <w:tc>
          <w:tcPr>
            <w:tcW w:w="2550" w:type="dxa"/>
            <w:vMerge w:val="continue"/>
            <w:tcBorders>
              <w:top w:val="single" w:color="000000" w:sz="4" w:space="0"/>
              <w:left w:val="single" w:color="000000" w:sz="4" w:space="0"/>
              <w:right w:val="single" w:color="000000" w:sz="4" w:space="0"/>
            </w:tcBorders>
            <w:vAlign w:val="center"/>
          </w:tcPr>
          <w:p>
            <w:pPr>
              <w:jc w:val="center"/>
              <w:rPr>
                <w:rFonts w:hint="default" w:ascii="Times New Roman" w:hAnsi="Times New Roman" w:eastAsia="方正仿宋_GBK"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5" w:type="dxa"/>
          <w:trHeight w:val="900" w:hRule="atLeast"/>
          <w:jc w:val="center"/>
        </w:trPr>
        <w:tc>
          <w:tcPr>
            <w:tcW w:w="690" w:type="dxa"/>
            <w:vMerge w:val="continue"/>
            <w:tcBorders>
              <w:top w:val="single" w:color="000000" w:sz="4" w:space="0"/>
              <w:left w:val="single" w:color="000000" w:sz="4" w:space="0"/>
              <w:right w:val="single" w:color="000000" w:sz="4" w:space="0"/>
            </w:tcBorders>
            <w:vAlign w:val="center"/>
          </w:tcPr>
          <w:p>
            <w:pPr>
              <w:jc w:val="center"/>
              <w:rPr>
                <w:rFonts w:hint="default" w:ascii="Times New Roman" w:hAnsi="Times New Roman" w:eastAsia="方正仿宋_GBK" w:cs="Times New Roman"/>
                <w:i w:val="0"/>
                <w:color w:val="000000"/>
                <w:sz w:val="18"/>
                <w:szCs w:val="18"/>
                <w:u w:val="none"/>
              </w:rPr>
            </w:pPr>
          </w:p>
        </w:tc>
        <w:tc>
          <w:tcPr>
            <w:tcW w:w="1110" w:type="dxa"/>
            <w:vMerge w:val="continue"/>
            <w:tcBorders>
              <w:top w:val="single" w:color="000000" w:sz="4" w:space="0"/>
              <w:left w:val="single" w:color="000000" w:sz="4" w:space="0"/>
              <w:right w:val="single" w:color="000000" w:sz="4" w:space="0"/>
            </w:tcBorders>
            <w:vAlign w:val="center"/>
          </w:tcPr>
          <w:p>
            <w:pPr>
              <w:jc w:val="center"/>
              <w:rPr>
                <w:rFonts w:hint="default" w:ascii="Times New Roman" w:hAnsi="Times New Roman" w:eastAsia="方正仿宋_GBK" w:cs="Times New Roman"/>
                <w:i w:val="0"/>
                <w:color w:val="000000"/>
                <w:sz w:val="18"/>
                <w:szCs w:val="18"/>
                <w:u w:val="none"/>
              </w:rPr>
            </w:pP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SA"/>
              </w:rPr>
              <w:t>3</w:t>
            </w:r>
          </w:p>
        </w:tc>
        <w:tc>
          <w:tcPr>
            <w:tcW w:w="8952"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SA"/>
              </w:rPr>
              <w:t>主要负责人要每季度至少组织一次会议，研究解决安全生产重大问题，综合运</w:t>
            </w:r>
            <w:r>
              <w:rPr>
                <w:rFonts w:hint="default" w:ascii="Times New Roman" w:hAnsi="Times New Roman" w:eastAsia="方正仿宋_GBK" w:cs="Times New Roman"/>
                <w:i w:val="0"/>
                <w:color w:val="auto"/>
                <w:kern w:val="0"/>
                <w:sz w:val="18"/>
                <w:szCs w:val="18"/>
                <w:u w:val="none"/>
                <w:lang w:val="en-US" w:eastAsia="zh-CN" w:bidi="ar-SA"/>
              </w:rPr>
              <w:t>用巡查督</w:t>
            </w:r>
            <w:r>
              <w:rPr>
                <w:rFonts w:hint="eastAsia" w:ascii="Times New Roman" w:hAnsi="Times New Roman" w:eastAsia="方正仿宋_GBK" w:cs="Times New Roman"/>
                <w:i w:val="0"/>
                <w:color w:val="auto"/>
                <w:kern w:val="0"/>
                <w:sz w:val="18"/>
                <w:szCs w:val="18"/>
                <w:u w:val="none"/>
                <w:lang w:val="en-US" w:eastAsia="zh-CN" w:bidi="ar-SA"/>
              </w:rPr>
              <w:t>察</w:t>
            </w:r>
            <w:r>
              <w:rPr>
                <w:rFonts w:hint="default" w:ascii="Times New Roman" w:hAnsi="Times New Roman" w:eastAsia="方正仿宋_GBK" w:cs="Times New Roman"/>
                <w:i w:val="0"/>
                <w:color w:val="000000"/>
                <w:kern w:val="0"/>
                <w:sz w:val="18"/>
                <w:szCs w:val="18"/>
                <w:u w:val="none"/>
                <w:lang w:val="en-US" w:eastAsia="zh-CN" w:bidi="ar-SA"/>
              </w:rPr>
              <w:t>、考核考察、激励惩戒等措施加强对安全生产工作的组织领导。重要时段，带头落实开展一次现场调研、深化一次专题部署、化解一批突出问题“三个一”履职要求。</w:t>
            </w:r>
          </w:p>
        </w:tc>
        <w:tc>
          <w:tcPr>
            <w:tcW w:w="255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SA"/>
              </w:rPr>
              <w:t xml:space="preserve">       区民政局：陈学军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5" w:type="dxa"/>
          <w:trHeight w:val="450" w:hRule="atLeast"/>
          <w:jc w:val="center"/>
        </w:trPr>
        <w:tc>
          <w:tcPr>
            <w:tcW w:w="690" w:type="dxa"/>
            <w:vMerge w:val="continue"/>
            <w:tcBorders>
              <w:top w:val="single" w:color="000000" w:sz="4" w:space="0"/>
              <w:left w:val="single" w:color="000000" w:sz="4" w:space="0"/>
              <w:right w:val="single" w:color="000000" w:sz="4" w:space="0"/>
            </w:tcBorders>
            <w:vAlign w:val="center"/>
          </w:tcPr>
          <w:p>
            <w:pPr>
              <w:jc w:val="center"/>
              <w:rPr>
                <w:rFonts w:hint="default" w:ascii="Times New Roman" w:hAnsi="Times New Roman" w:eastAsia="方正仿宋_GBK" w:cs="Times New Roman"/>
                <w:i w:val="0"/>
                <w:color w:val="000000"/>
                <w:sz w:val="18"/>
                <w:szCs w:val="18"/>
                <w:u w:val="none"/>
              </w:rPr>
            </w:pPr>
          </w:p>
        </w:tc>
        <w:tc>
          <w:tcPr>
            <w:tcW w:w="1110" w:type="dxa"/>
            <w:vMerge w:val="continue"/>
            <w:tcBorders>
              <w:top w:val="single" w:color="000000" w:sz="4" w:space="0"/>
              <w:left w:val="single" w:color="000000" w:sz="4" w:space="0"/>
              <w:right w:val="single" w:color="000000" w:sz="4" w:space="0"/>
            </w:tcBorders>
            <w:vAlign w:val="center"/>
          </w:tcPr>
          <w:p>
            <w:pPr>
              <w:jc w:val="center"/>
              <w:rPr>
                <w:rFonts w:hint="default" w:ascii="Times New Roman" w:hAnsi="Times New Roman" w:eastAsia="方正仿宋_GBK" w:cs="Times New Roman"/>
                <w:i w:val="0"/>
                <w:color w:val="000000"/>
                <w:sz w:val="18"/>
                <w:szCs w:val="18"/>
                <w:u w:val="none"/>
              </w:rPr>
            </w:pP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SA"/>
              </w:rPr>
              <w:t>4</w:t>
            </w:r>
          </w:p>
        </w:tc>
        <w:tc>
          <w:tcPr>
            <w:tcW w:w="8952"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SA"/>
              </w:rPr>
              <w:t>其他班子成员要抓好分管行业（领域）安全生产工作。</w:t>
            </w:r>
          </w:p>
        </w:tc>
        <w:tc>
          <w:tcPr>
            <w:tcW w:w="2550"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SA"/>
              </w:rPr>
              <w:t xml:space="preserve"> 区民政局：杨兵、田兰、陈永</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5" w:type="dxa"/>
          <w:trHeight w:val="1194" w:hRule="atLeast"/>
          <w:jc w:val="center"/>
        </w:trPr>
        <w:tc>
          <w:tcPr>
            <w:tcW w:w="690" w:type="dxa"/>
            <w:tcBorders>
              <w:top w:val="single" w:color="000000" w:sz="4" w:space="0"/>
              <w:left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SA"/>
              </w:rPr>
              <w:t>2</w:t>
            </w:r>
          </w:p>
        </w:tc>
        <w:tc>
          <w:tcPr>
            <w:tcW w:w="1110" w:type="dxa"/>
            <w:tcBorders>
              <w:top w:val="single" w:color="000000" w:sz="4" w:space="0"/>
              <w:left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SA"/>
              </w:rPr>
              <w:t>严格落实各级政府安全生产责任；</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SA"/>
              </w:rPr>
              <w:t>5</w:t>
            </w:r>
          </w:p>
        </w:tc>
        <w:tc>
          <w:tcPr>
            <w:tcW w:w="8952"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SA"/>
              </w:rPr>
              <w:t>单位主要负责人每月研究安全生产工作，组织解决安全生产突出问题，列出问题清单，提出有效的解决办法。重要时段，组织开展风险研判，召开动员部署会议。研究解决安全生产监管和自然灾害防治有关重大问题。</w:t>
            </w:r>
          </w:p>
        </w:tc>
        <w:tc>
          <w:tcPr>
            <w:tcW w:w="2550" w:type="dxa"/>
            <w:tcBorders>
              <w:top w:val="single" w:color="000000" w:sz="4" w:space="0"/>
              <w:left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SA"/>
              </w:rPr>
              <w:t>区民政局：陈学军                  各乡镇（街道） 负责人                    下属事业单位：负责人                        社会养老机构：负责人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5" w:type="dxa"/>
          <w:trHeight w:val="570" w:hRule="atLeast"/>
          <w:jc w:val="center"/>
        </w:trPr>
        <w:tc>
          <w:tcPr>
            <w:tcW w:w="69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SA"/>
              </w:rPr>
              <w:t>3</w:t>
            </w:r>
          </w:p>
        </w:tc>
        <w:tc>
          <w:tcPr>
            <w:tcW w:w="111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SA"/>
              </w:rPr>
              <w:t>严格落实部门安全生产责任；</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SA"/>
              </w:rPr>
              <w:t>6</w:t>
            </w:r>
          </w:p>
        </w:tc>
        <w:tc>
          <w:tcPr>
            <w:tcW w:w="8952"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SA"/>
              </w:rPr>
              <w:t>按照“管行业必须管安全、管业务必须管安全、管生产经营必须管安全”和“谁主管谁负责”的原则，编制安全生产权力和责任清单。</w:t>
            </w:r>
          </w:p>
        </w:tc>
        <w:tc>
          <w:tcPr>
            <w:tcW w:w="255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SA"/>
              </w:rPr>
              <w:t>区民政局：陈学军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gridAfter w:val="1"/>
          <w:wAfter w:w="15" w:type="dxa"/>
          <w:trHeight w:val="395" w:hRule="atLeast"/>
          <w:jc w:val="center"/>
        </w:trPr>
        <w:tc>
          <w:tcPr>
            <w:tcW w:w="69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i w:val="0"/>
                <w:color w:val="000000"/>
                <w:sz w:val="18"/>
                <w:szCs w:val="18"/>
                <w:u w:val="none"/>
              </w:rPr>
            </w:pPr>
          </w:p>
        </w:tc>
        <w:tc>
          <w:tcPr>
            <w:tcW w:w="111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i w:val="0"/>
                <w:color w:val="000000"/>
                <w:sz w:val="18"/>
                <w:szCs w:val="18"/>
                <w:u w:val="none"/>
              </w:rPr>
            </w:pP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SA"/>
              </w:rPr>
              <w:t>7</w:t>
            </w:r>
          </w:p>
        </w:tc>
        <w:tc>
          <w:tcPr>
            <w:tcW w:w="8952"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SA"/>
              </w:rPr>
              <w:t>研究制订本部门年度生产安全和自然灾害防治工作监督检查计划并组织实施。</w:t>
            </w:r>
          </w:p>
        </w:tc>
        <w:tc>
          <w:tcPr>
            <w:tcW w:w="255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30" w:hRule="atLeast"/>
          <w:jc w:val="center"/>
        </w:trPr>
        <w:tc>
          <w:tcPr>
            <w:tcW w:w="69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i w:val="0"/>
                <w:color w:val="000000"/>
                <w:sz w:val="18"/>
                <w:szCs w:val="18"/>
                <w:u w:val="none"/>
              </w:rPr>
            </w:pPr>
          </w:p>
        </w:tc>
        <w:tc>
          <w:tcPr>
            <w:tcW w:w="111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i w:val="0"/>
                <w:color w:val="000000"/>
                <w:sz w:val="18"/>
                <w:szCs w:val="18"/>
                <w:u w:val="none"/>
              </w:rPr>
            </w:pP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SA"/>
              </w:rPr>
              <w:t>8</w:t>
            </w:r>
          </w:p>
        </w:tc>
        <w:tc>
          <w:tcPr>
            <w:tcW w:w="8952"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SA"/>
              </w:rPr>
              <w:t>坚持集中力量、走出机关、严格执法，监管人员检查工作日必须开展执法，分管负责人每周必须调度推动执法，主要负责人必须每月开展执法工作检查。明确领导班子副职中排名第一位的领导，担任安全生产和自然灾害防治工作分管领导。</w:t>
            </w:r>
          </w:p>
        </w:tc>
        <w:tc>
          <w:tcPr>
            <w:tcW w:w="2565" w:type="dxa"/>
            <w:gridSpan w:val="2"/>
            <w:vMerge w:val="restart"/>
            <w:tcBorders>
              <w:top w:val="single" w:color="000000" w:sz="4" w:space="0"/>
              <w:left w:val="single" w:color="000000" w:sz="4" w:space="0"/>
              <w:right w:val="single" w:color="000000" w:sz="4" w:space="0"/>
            </w:tcBorders>
            <w:vAlign w:val="center"/>
          </w:tcPr>
          <w:p>
            <w:pPr>
              <w:jc w:val="center"/>
              <w:rPr>
                <w:rFonts w:hint="default" w:ascii="Times New Roman" w:hAnsi="Times New Roman" w:eastAsia="方正仿宋_GBK"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70" w:hRule="atLeast"/>
          <w:jc w:val="center"/>
        </w:trPr>
        <w:tc>
          <w:tcPr>
            <w:tcW w:w="69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i w:val="0"/>
                <w:color w:val="000000"/>
                <w:sz w:val="18"/>
                <w:szCs w:val="18"/>
                <w:u w:val="none"/>
              </w:rPr>
            </w:pPr>
          </w:p>
        </w:tc>
        <w:tc>
          <w:tcPr>
            <w:tcW w:w="111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i w:val="0"/>
                <w:color w:val="000000"/>
                <w:sz w:val="18"/>
                <w:szCs w:val="18"/>
                <w:u w:val="none"/>
              </w:rPr>
            </w:pP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SA"/>
              </w:rPr>
              <w:t>9</w:t>
            </w:r>
          </w:p>
        </w:tc>
        <w:tc>
          <w:tcPr>
            <w:tcW w:w="8952"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SA"/>
              </w:rPr>
              <w:t>依法履行安全生产和自然灾害防治隐患整改监督责任，实施本</w:t>
            </w:r>
            <w:r>
              <w:rPr>
                <w:rFonts w:hint="default" w:ascii="Times New Roman" w:hAnsi="Times New Roman" w:eastAsia="方正仿宋_GBK" w:cs="Times New Roman"/>
                <w:i w:val="0"/>
                <w:color w:val="auto"/>
                <w:kern w:val="0"/>
                <w:sz w:val="18"/>
                <w:szCs w:val="18"/>
                <w:u w:val="none"/>
                <w:lang w:val="en-US" w:eastAsia="zh-CN" w:bidi="ar-SA"/>
              </w:rPr>
              <w:t>部门安全</w:t>
            </w:r>
            <w:r>
              <w:rPr>
                <w:rFonts w:hint="default" w:ascii="Times New Roman" w:hAnsi="Times New Roman" w:eastAsia="方正仿宋_GBK" w:cs="Times New Roman"/>
                <w:i w:val="0"/>
                <w:color w:val="000000"/>
                <w:kern w:val="0"/>
                <w:sz w:val="18"/>
                <w:szCs w:val="18"/>
                <w:u w:val="none"/>
                <w:lang w:val="en-US" w:eastAsia="zh-CN" w:bidi="ar-SA"/>
              </w:rPr>
              <w:t>风险分级管控工作。</w:t>
            </w:r>
          </w:p>
        </w:tc>
        <w:tc>
          <w:tcPr>
            <w:tcW w:w="256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10" w:hRule="atLeast"/>
          <w:jc w:val="center"/>
        </w:trPr>
        <w:tc>
          <w:tcPr>
            <w:tcW w:w="69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i w:val="0"/>
                <w:color w:val="000000"/>
                <w:sz w:val="18"/>
                <w:szCs w:val="18"/>
                <w:u w:val="none"/>
              </w:rPr>
            </w:pPr>
          </w:p>
        </w:tc>
        <w:tc>
          <w:tcPr>
            <w:tcW w:w="111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i w:val="0"/>
                <w:color w:val="000000"/>
                <w:sz w:val="18"/>
                <w:szCs w:val="18"/>
                <w:u w:val="none"/>
              </w:rPr>
            </w:pP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SA"/>
              </w:rPr>
              <w:t>10</w:t>
            </w:r>
          </w:p>
        </w:tc>
        <w:tc>
          <w:tcPr>
            <w:tcW w:w="8952"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SA"/>
              </w:rPr>
              <w:t>完善本部门安全生产和自然灾害防治内设机构设置和人员配备，提升履职能力和水平。</w:t>
            </w:r>
          </w:p>
        </w:tc>
        <w:tc>
          <w:tcPr>
            <w:tcW w:w="256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265" w:hRule="atLeast"/>
          <w:jc w:val="center"/>
        </w:trPr>
        <w:tc>
          <w:tcPr>
            <w:tcW w:w="69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SA"/>
              </w:rPr>
              <w:t>4</w:t>
            </w:r>
          </w:p>
        </w:tc>
        <w:tc>
          <w:tcPr>
            <w:tcW w:w="111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SA"/>
              </w:rPr>
              <w:t>严肃追究领导责任和监管责任；</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SA"/>
              </w:rPr>
              <w:t>11</w:t>
            </w:r>
          </w:p>
        </w:tc>
        <w:tc>
          <w:tcPr>
            <w:tcW w:w="8952"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SA"/>
              </w:rPr>
              <w:t>严格落实《重庆市安全生产“一票否决”实施办法（试行）》。被“一票否决”对象为单位的，取消当年评选各级精神文明单位、各类综合性先进单位、行业系统单项奖资格，年度目标绩效考核不得评为“一等奖”，被“一票否决”对象为个人的，在相关规定时限内，取消个人考核评优和评选各类先进资格，不得晋升职务、职级、级别或者进一步使用。</w:t>
            </w:r>
          </w:p>
        </w:tc>
        <w:tc>
          <w:tcPr>
            <w:tcW w:w="256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SA"/>
              </w:rPr>
              <w:t>区民政局：党组成员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55" w:hRule="atLeast"/>
          <w:jc w:val="center"/>
        </w:trPr>
        <w:tc>
          <w:tcPr>
            <w:tcW w:w="69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i w:val="0"/>
                <w:color w:val="000000"/>
                <w:sz w:val="18"/>
                <w:szCs w:val="18"/>
                <w:u w:val="none"/>
              </w:rPr>
            </w:pPr>
          </w:p>
        </w:tc>
        <w:tc>
          <w:tcPr>
            <w:tcW w:w="111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i w:val="0"/>
                <w:color w:val="000000"/>
                <w:sz w:val="18"/>
                <w:szCs w:val="18"/>
                <w:u w:val="none"/>
              </w:rPr>
            </w:pP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SA"/>
              </w:rPr>
              <w:t>12</w:t>
            </w:r>
          </w:p>
        </w:tc>
        <w:tc>
          <w:tcPr>
            <w:tcW w:w="8952"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SA"/>
              </w:rPr>
              <w:t>严格落实“有案必查、一案双查、三责同追、四不放过”对各类生产安全事故开展调查。一般生产安全事故调查报告由区政府分管负责人签批结案，并承担相应责任；调查结案后一个月内须向社会公开，同时报市安委办备案。将安全生产监管和自然灾害防治工作纳入审计督查范围。涉嫌不作为、乱作为、失职渎职的，移交纪委监委处理。</w:t>
            </w:r>
          </w:p>
        </w:tc>
        <w:tc>
          <w:tcPr>
            <w:tcW w:w="256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SA"/>
              </w:rPr>
              <w:t>区民政局：党组成员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85" w:hRule="atLeast"/>
          <w:jc w:val="center"/>
        </w:trPr>
        <w:tc>
          <w:tcPr>
            <w:tcW w:w="690"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SA"/>
              </w:rPr>
              <w:t>5</w:t>
            </w:r>
          </w:p>
        </w:tc>
        <w:tc>
          <w:tcPr>
            <w:tcW w:w="1110"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SA"/>
              </w:rPr>
              <w:t>严格落实企业主要负责人责任；</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SA"/>
              </w:rPr>
              <w:t>13</w:t>
            </w:r>
          </w:p>
        </w:tc>
        <w:tc>
          <w:tcPr>
            <w:tcW w:w="8952"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SA"/>
              </w:rPr>
              <w:t>建立健全并落实本单位全员安全生产工作责任制，将企业主要负责人（法定代表人、实际控制人、实际负责人）安全生产履职情况纳入年度监督检查必查内容。</w:t>
            </w:r>
          </w:p>
        </w:tc>
        <w:tc>
          <w:tcPr>
            <w:tcW w:w="2565" w:type="dxa"/>
            <w:gridSpan w:val="2"/>
            <w:vMerge w:val="restart"/>
            <w:tcBorders>
              <w:top w:val="single" w:color="000000" w:sz="4" w:space="0"/>
              <w:left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SA"/>
              </w:rPr>
              <w:t>各乡镇（街道）：分管负责人           下属事业单位：负责人             社会养老机构：负责人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20" w:hRule="atLeast"/>
          <w:jc w:val="center"/>
        </w:trPr>
        <w:tc>
          <w:tcPr>
            <w:tcW w:w="690" w:type="dxa"/>
            <w:vMerge w:val="continue"/>
            <w:tcBorders>
              <w:top w:val="single" w:color="000000" w:sz="4" w:space="0"/>
              <w:left w:val="single" w:color="000000" w:sz="4" w:space="0"/>
              <w:right w:val="single" w:color="000000" w:sz="4" w:space="0"/>
            </w:tcBorders>
            <w:vAlign w:val="center"/>
          </w:tcPr>
          <w:p>
            <w:pPr>
              <w:jc w:val="center"/>
              <w:rPr>
                <w:rFonts w:hint="default" w:ascii="Times New Roman" w:hAnsi="Times New Roman" w:eastAsia="方正仿宋_GBK" w:cs="Times New Roman"/>
                <w:i w:val="0"/>
                <w:color w:val="000000"/>
                <w:sz w:val="18"/>
                <w:szCs w:val="18"/>
                <w:u w:val="none"/>
              </w:rPr>
            </w:pPr>
          </w:p>
        </w:tc>
        <w:tc>
          <w:tcPr>
            <w:tcW w:w="1110" w:type="dxa"/>
            <w:vMerge w:val="continue"/>
            <w:tcBorders>
              <w:top w:val="single" w:color="000000" w:sz="4" w:space="0"/>
              <w:left w:val="single" w:color="000000" w:sz="4" w:space="0"/>
              <w:right w:val="single" w:color="000000" w:sz="4" w:space="0"/>
            </w:tcBorders>
            <w:vAlign w:val="center"/>
          </w:tcPr>
          <w:p>
            <w:pPr>
              <w:jc w:val="center"/>
              <w:rPr>
                <w:rFonts w:hint="default" w:ascii="Times New Roman" w:hAnsi="Times New Roman" w:eastAsia="方正仿宋_GBK" w:cs="Times New Roman"/>
                <w:i w:val="0"/>
                <w:color w:val="000000"/>
                <w:sz w:val="18"/>
                <w:szCs w:val="18"/>
                <w:u w:val="none"/>
              </w:rPr>
            </w:pP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SA"/>
              </w:rPr>
              <w:t>14</w:t>
            </w:r>
          </w:p>
        </w:tc>
        <w:tc>
          <w:tcPr>
            <w:tcW w:w="8952"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SA"/>
              </w:rPr>
              <w:t>依法设置安全生产管理机构并配齐安全生产管理人员，认真组织制定并实施本单位安全生产和自然灾害防治工作。</w:t>
            </w:r>
          </w:p>
        </w:tc>
        <w:tc>
          <w:tcPr>
            <w:tcW w:w="2565" w:type="dxa"/>
            <w:gridSpan w:val="2"/>
            <w:vMerge w:val="continue"/>
            <w:tcBorders>
              <w:top w:val="single" w:color="000000" w:sz="4" w:space="0"/>
              <w:left w:val="single" w:color="000000" w:sz="4" w:space="0"/>
              <w:right w:val="single" w:color="000000" w:sz="4" w:space="0"/>
            </w:tcBorders>
            <w:vAlign w:val="center"/>
          </w:tcPr>
          <w:p>
            <w:pPr>
              <w:jc w:val="center"/>
              <w:rPr>
                <w:rFonts w:hint="default" w:ascii="Times New Roman" w:hAnsi="Times New Roman" w:eastAsia="方正仿宋_GBK"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37" w:hRule="atLeast"/>
          <w:jc w:val="center"/>
        </w:trPr>
        <w:tc>
          <w:tcPr>
            <w:tcW w:w="690" w:type="dxa"/>
            <w:vMerge w:val="continue"/>
            <w:tcBorders>
              <w:top w:val="single" w:color="000000" w:sz="4" w:space="0"/>
              <w:left w:val="single" w:color="000000" w:sz="4" w:space="0"/>
              <w:right w:val="single" w:color="000000" w:sz="4" w:space="0"/>
            </w:tcBorders>
            <w:vAlign w:val="center"/>
          </w:tcPr>
          <w:p>
            <w:pPr>
              <w:jc w:val="center"/>
              <w:rPr>
                <w:rFonts w:hint="default" w:ascii="Times New Roman" w:hAnsi="Times New Roman" w:eastAsia="方正仿宋_GBK" w:cs="Times New Roman"/>
                <w:i w:val="0"/>
                <w:color w:val="000000"/>
                <w:sz w:val="18"/>
                <w:szCs w:val="18"/>
                <w:u w:val="none"/>
              </w:rPr>
            </w:pPr>
          </w:p>
        </w:tc>
        <w:tc>
          <w:tcPr>
            <w:tcW w:w="1110" w:type="dxa"/>
            <w:vMerge w:val="continue"/>
            <w:tcBorders>
              <w:top w:val="single" w:color="000000" w:sz="4" w:space="0"/>
              <w:left w:val="single" w:color="000000" w:sz="4" w:space="0"/>
              <w:right w:val="single" w:color="000000" w:sz="4" w:space="0"/>
            </w:tcBorders>
            <w:vAlign w:val="center"/>
          </w:tcPr>
          <w:p>
            <w:pPr>
              <w:jc w:val="center"/>
              <w:rPr>
                <w:rFonts w:hint="default" w:ascii="Times New Roman" w:hAnsi="Times New Roman" w:eastAsia="方正仿宋_GBK" w:cs="Times New Roman"/>
                <w:i w:val="0"/>
                <w:color w:val="000000"/>
                <w:sz w:val="18"/>
                <w:szCs w:val="18"/>
                <w:u w:val="none"/>
              </w:rPr>
            </w:pP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SA"/>
              </w:rPr>
              <w:t>15</w:t>
            </w:r>
          </w:p>
        </w:tc>
        <w:tc>
          <w:tcPr>
            <w:tcW w:w="8952"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SA"/>
              </w:rPr>
              <w:t>组织建立并落实安全风险分级管控和隐患排查治理双重预防工作机制，督促、检查本单位的安全生产工作，及时消除生产安全事故隐患。</w:t>
            </w:r>
          </w:p>
        </w:tc>
        <w:tc>
          <w:tcPr>
            <w:tcW w:w="2565" w:type="dxa"/>
            <w:gridSpan w:val="2"/>
            <w:vMerge w:val="continue"/>
            <w:tcBorders>
              <w:top w:val="single" w:color="000000" w:sz="4" w:space="0"/>
              <w:left w:val="single" w:color="000000" w:sz="4" w:space="0"/>
              <w:right w:val="single" w:color="000000" w:sz="4" w:space="0"/>
            </w:tcBorders>
            <w:vAlign w:val="center"/>
          </w:tcPr>
          <w:p>
            <w:pPr>
              <w:jc w:val="center"/>
              <w:rPr>
                <w:rFonts w:hint="default" w:ascii="Times New Roman" w:hAnsi="Times New Roman" w:eastAsia="方正仿宋_GBK"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45" w:hRule="atLeast"/>
          <w:jc w:val="center"/>
        </w:trPr>
        <w:tc>
          <w:tcPr>
            <w:tcW w:w="690" w:type="dxa"/>
            <w:vMerge w:val="continue"/>
            <w:tcBorders>
              <w:top w:val="single" w:color="000000" w:sz="4" w:space="0"/>
              <w:left w:val="single" w:color="000000" w:sz="4" w:space="0"/>
              <w:right w:val="single" w:color="000000" w:sz="4" w:space="0"/>
            </w:tcBorders>
            <w:vAlign w:val="center"/>
          </w:tcPr>
          <w:p>
            <w:pPr>
              <w:jc w:val="center"/>
              <w:rPr>
                <w:rFonts w:hint="default" w:ascii="Times New Roman" w:hAnsi="Times New Roman" w:eastAsia="方正仿宋_GBK" w:cs="Times New Roman"/>
                <w:i w:val="0"/>
                <w:color w:val="000000"/>
                <w:sz w:val="18"/>
                <w:szCs w:val="18"/>
                <w:u w:val="none"/>
              </w:rPr>
            </w:pPr>
          </w:p>
        </w:tc>
        <w:tc>
          <w:tcPr>
            <w:tcW w:w="1110" w:type="dxa"/>
            <w:vMerge w:val="continue"/>
            <w:tcBorders>
              <w:top w:val="single" w:color="000000" w:sz="4" w:space="0"/>
              <w:left w:val="single" w:color="000000" w:sz="4" w:space="0"/>
              <w:right w:val="single" w:color="000000" w:sz="4" w:space="0"/>
            </w:tcBorders>
            <w:vAlign w:val="center"/>
          </w:tcPr>
          <w:p>
            <w:pPr>
              <w:jc w:val="center"/>
              <w:rPr>
                <w:rFonts w:hint="default" w:ascii="Times New Roman" w:hAnsi="Times New Roman" w:eastAsia="方正仿宋_GBK" w:cs="Times New Roman"/>
                <w:i w:val="0"/>
                <w:color w:val="000000"/>
                <w:sz w:val="18"/>
                <w:szCs w:val="18"/>
                <w:u w:val="none"/>
              </w:rPr>
            </w:pP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SA"/>
              </w:rPr>
              <w:t>16</w:t>
            </w:r>
          </w:p>
        </w:tc>
        <w:tc>
          <w:tcPr>
            <w:tcW w:w="8952"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SA"/>
              </w:rPr>
              <w:t>组织制定并实施本单位生产安全事故应急救援预案。配备必要的应急救援装备和物资，按规定组织开展应急演练，建立应急值班制度。及时、如实、准确、全面报告生产安全事故。</w:t>
            </w:r>
          </w:p>
        </w:tc>
        <w:tc>
          <w:tcPr>
            <w:tcW w:w="2565" w:type="dxa"/>
            <w:gridSpan w:val="2"/>
            <w:vMerge w:val="continue"/>
            <w:tcBorders>
              <w:top w:val="single" w:color="000000" w:sz="4" w:space="0"/>
              <w:left w:val="single" w:color="000000" w:sz="4" w:space="0"/>
              <w:right w:val="single" w:color="000000" w:sz="4" w:space="0"/>
            </w:tcBorders>
            <w:vAlign w:val="center"/>
          </w:tcPr>
          <w:p>
            <w:pPr>
              <w:jc w:val="center"/>
              <w:rPr>
                <w:rFonts w:hint="default" w:ascii="Times New Roman" w:hAnsi="Times New Roman" w:eastAsia="方正仿宋_GBK"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5" w:hRule="atLeast"/>
          <w:jc w:val="center"/>
        </w:trPr>
        <w:tc>
          <w:tcPr>
            <w:tcW w:w="69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SA"/>
              </w:rPr>
              <w:t>6</w:t>
            </w:r>
          </w:p>
        </w:tc>
        <w:tc>
          <w:tcPr>
            <w:tcW w:w="111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SA"/>
              </w:rPr>
              <w:t>立即深入扎实开展安全生产大检查；</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SA"/>
              </w:rPr>
              <w:t>17</w:t>
            </w:r>
          </w:p>
        </w:tc>
        <w:tc>
          <w:tcPr>
            <w:tcW w:w="8952"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SA"/>
              </w:rPr>
              <w:t>各单位要紧紧围绕“十五项硬措施”分解各项任务，组织开展大排查，查思想认识、查履职尽责、查监管执法、查风险管控、查隐患整治，找出差距、列出清单、明确要求、压实责任、限期整改。</w:t>
            </w:r>
          </w:p>
        </w:tc>
        <w:tc>
          <w:tcPr>
            <w:tcW w:w="2565"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SA"/>
              </w:rPr>
              <w:t>各乡镇（街道）：分管负责人           下属事业单位：负责人            社会养老机构：负责人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5" w:hRule="atLeast"/>
          <w:jc w:val="center"/>
        </w:trPr>
        <w:tc>
          <w:tcPr>
            <w:tcW w:w="69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i w:val="0"/>
                <w:color w:val="000000"/>
                <w:sz w:val="18"/>
                <w:szCs w:val="18"/>
                <w:u w:val="none"/>
              </w:rPr>
            </w:pPr>
          </w:p>
        </w:tc>
        <w:tc>
          <w:tcPr>
            <w:tcW w:w="111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i w:val="0"/>
                <w:color w:val="000000"/>
                <w:sz w:val="18"/>
                <w:szCs w:val="18"/>
                <w:u w:val="none"/>
              </w:rPr>
            </w:pP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SA"/>
              </w:rPr>
              <w:t>18</w:t>
            </w:r>
          </w:p>
        </w:tc>
        <w:tc>
          <w:tcPr>
            <w:tcW w:w="8952"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SA"/>
              </w:rPr>
              <w:t>聚焦民政系统全面开展重大风险隐患排查整治。尤其对人员密集场所的养老机构要严格落实管控措施。</w:t>
            </w:r>
          </w:p>
        </w:tc>
        <w:tc>
          <w:tcPr>
            <w:tcW w:w="256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27" w:hRule="atLeast"/>
          <w:jc w:val="center"/>
        </w:trPr>
        <w:tc>
          <w:tcPr>
            <w:tcW w:w="69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i w:val="0"/>
                <w:color w:val="000000"/>
                <w:sz w:val="18"/>
                <w:szCs w:val="18"/>
                <w:u w:val="none"/>
              </w:rPr>
            </w:pPr>
          </w:p>
        </w:tc>
        <w:tc>
          <w:tcPr>
            <w:tcW w:w="111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i w:val="0"/>
                <w:color w:val="000000"/>
                <w:sz w:val="18"/>
                <w:szCs w:val="18"/>
                <w:u w:val="none"/>
              </w:rPr>
            </w:pP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SA"/>
              </w:rPr>
              <w:t>19</w:t>
            </w:r>
          </w:p>
        </w:tc>
        <w:tc>
          <w:tcPr>
            <w:tcW w:w="8952"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SA"/>
              </w:rPr>
              <w:t>全面推广落实“一线责任制”，规范职工操作行为，提升职工基本素质，2022年12月底前，实现民</w:t>
            </w:r>
            <w:r>
              <w:rPr>
                <w:rFonts w:hint="default" w:ascii="Times New Roman" w:hAnsi="Times New Roman" w:eastAsia="方正仿宋_GBK" w:cs="Times New Roman"/>
                <w:i w:val="0"/>
                <w:color w:val="auto"/>
                <w:kern w:val="0"/>
                <w:sz w:val="18"/>
                <w:szCs w:val="18"/>
                <w:u w:val="none"/>
                <w:lang w:val="en-US" w:eastAsia="zh-CN" w:bidi="ar-SA"/>
              </w:rPr>
              <w:t>政领域</w:t>
            </w:r>
            <w:r>
              <w:rPr>
                <w:rFonts w:hint="default" w:ascii="Times New Roman" w:hAnsi="Times New Roman" w:eastAsia="方正仿宋_GBK" w:cs="Times New Roman"/>
                <w:i w:val="0"/>
                <w:color w:val="000000"/>
                <w:kern w:val="0"/>
                <w:sz w:val="18"/>
                <w:szCs w:val="18"/>
                <w:u w:val="none"/>
                <w:lang w:val="en-US" w:eastAsia="zh-CN" w:bidi="ar-SA"/>
              </w:rPr>
              <w:t>“一线责任制”全覆盖。</w:t>
            </w:r>
          </w:p>
        </w:tc>
        <w:tc>
          <w:tcPr>
            <w:tcW w:w="256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70" w:hRule="atLeast"/>
          <w:jc w:val="center"/>
        </w:trPr>
        <w:tc>
          <w:tcPr>
            <w:tcW w:w="69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i w:val="0"/>
                <w:color w:val="000000"/>
                <w:sz w:val="18"/>
                <w:szCs w:val="18"/>
                <w:u w:val="none"/>
              </w:rPr>
            </w:pPr>
          </w:p>
        </w:tc>
        <w:tc>
          <w:tcPr>
            <w:tcW w:w="111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i w:val="0"/>
                <w:color w:val="000000"/>
                <w:sz w:val="18"/>
                <w:szCs w:val="18"/>
                <w:u w:val="none"/>
              </w:rPr>
            </w:pP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SA"/>
              </w:rPr>
              <w:t>20</w:t>
            </w:r>
          </w:p>
        </w:tc>
        <w:tc>
          <w:tcPr>
            <w:tcW w:w="8952"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SA"/>
              </w:rPr>
              <w:t>严格督促单位落实“日周月”隐患排查治理制度，落实重大（重点）风险隐患“三个层级”责任管控。</w:t>
            </w:r>
          </w:p>
        </w:tc>
        <w:tc>
          <w:tcPr>
            <w:tcW w:w="256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25" w:hRule="atLeast"/>
          <w:jc w:val="center"/>
        </w:trPr>
        <w:tc>
          <w:tcPr>
            <w:tcW w:w="690" w:type="dxa"/>
            <w:vMerge w:val="restart"/>
            <w:tcBorders>
              <w:left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SA"/>
              </w:rPr>
              <w:t>7</w:t>
            </w:r>
          </w:p>
        </w:tc>
        <w:tc>
          <w:tcPr>
            <w:tcW w:w="1110" w:type="dxa"/>
            <w:vMerge w:val="restart"/>
            <w:tcBorders>
              <w:left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SA"/>
              </w:rPr>
              <w:t>牢牢守住项目审批安全红线；</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SA"/>
              </w:rPr>
              <w:t>21</w:t>
            </w:r>
          </w:p>
        </w:tc>
        <w:tc>
          <w:tcPr>
            <w:tcW w:w="8952"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SA"/>
              </w:rPr>
              <w:t>生产经营单位新建、改建、扩建工程项目的安全设施，必须与主体工程同时设计、同时施工、同时投入生产和使用。安全设施投资应当纳入建设项目概算。</w:t>
            </w:r>
          </w:p>
        </w:tc>
        <w:tc>
          <w:tcPr>
            <w:tcW w:w="2565" w:type="dxa"/>
            <w:gridSpan w:val="2"/>
            <w:vMerge w:val="restart"/>
            <w:tcBorders>
              <w:left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SA"/>
              </w:rPr>
              <w:t>区民政局：安办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75" w:hRule="atLeast"/>
          <w:jc w:val="center"/>
        </w:trPr>
        <w:tc>
          <w:tcPr>
            <w:tcW w:w="690" w:type="dxa"/>
            <w:vMerge w:val="continue"/>
            <w:tcBorders>
              <w:left w:val="single" w:color="000000" w:sz="4" w:space="0"/>
              <w:right w:val="single" w:color="000000" w:sz="4" w:space="0"/>
            </w:tcBorders>
            <w:vAlign w:val="center"/>
          </w:tcPr>
          <w:p>
            <w:pPr>
              <w:jc w:val="center"/>
              <w:rPr>
                <w:rFonts w:hint="default" w:ascii="Times New Roman" w:hAnsi="Times New Roman" w:eastAsia="方正仿宋_GBK" w:cs="Times New Roman"/>
                <w:i w:val="0"/>
                <w:color w:val="000000"/>
                <w:sz w:val="18"/>
                <w:szCs w:val="18"/>
                <w:u w:val="none"/>
              </w:rPr>
            </w:pPr>
          </w:p>
        </w:tc>
        <w:tc>
          <w:tcPr>
            <w:tcW w:w="1110" w:type="dxa"/>
            <w:vMerge w:val="continue"/>
            <w:tcBorders>
              <w:left w:val="single" w:color="000000" w:sz="4" w:space="0"/>
              <w:right w:val="single" w:color="000000" w:sz="4" w:space="0"/>
            </w:tcBorders>
            <w:vAlign w:val="center"/>
          </w:tcPr>
          <w:p>
            <w:pPr>
              <w:jc w:val="center"/>
              <w:rPr>
                <w:rFonts w:hint="default" w:ascii="Times New Roman" w:hAnsi="Times New Roman" w:eastAsia="方正仿宋_GBK" w:cs="Times New Roman"/>
                <w:i w:val="0"/>
                <w:color w:val="000000"/>
                <w:sz w:val="18"/>
                <w:szCs w:val="18"/>
                <w:u w:val="none"/>
              </w:rPr>
            </w:pP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SA"/>
              </w:rPr>
              <w:t>22</w:t>
            </w:r>
          </w:p>
        </w:tc>
        <w:tc>
          <w:tcPr>
            <w:tcW w:w="8952"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SA"/>
              </w:rPr>
              <w:t>生产经营单位不得将生产经营项目、场所、设备发包或者出租给不具备安全生产条件或者相应资质的单位或者个人。</w:t>
            </w:r>
          </w:p>
        </w:tc>
        <w:tc>
          <w:tcPr>
            <w:tcW w:w="2565" w:type="dxa"/>
            <w:gridSpan w:val="2"/>
            <w:vMerge w:val="continue"/>
            <w:tcBorders>
              <w:left w:val="single" w:color="000000" w:sz="4" w:space="0"/>
              <w:right w:val="single" w:color="000000" w:sz="4" w:space="0"/>
            </w:tcBorders>
            <w:vAlign w:val="center"/>
          </w:tcPr>
          <w:p>
            <w:pPr>
              <w:jc w:val="center"/>
              <w:rPr>
                <w:rFonts w:hint="default" w:ascii="Times New Roman" w:hAnsi="Times New Roman" w:eastAsia="方正仿宋_GBK"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3" w:hRule="atLeast"/>
          <w:jc w:val="center"/>
        </w:trPr>
        <w:tc>
          <w:tcPr>
            <w:tcW w:w="690" w:type="dxa"/>
            <w:tcBorders>
              <w:top w:val="single" w:color="000000" w:sz="4" w:space="0"/>
              <w:left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SA"/>
              </w:rPr>
              <w:t>8</w:t>
            </w:r>
          </w:p>
        </w:tc>
        <w:tc>
          <w:tcPr>
            <w:tcW w:w="1110" w:type="dxa"/>
            <w:tcBorders>
              <w:top w:val="single" w:color="000000" w:sz="4" w:space="0"/>
              <w:left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SA"/>
              </w:rPr>
              <w:t>严厉查处违法分包转包挂靠资质行为；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SA"/>
              </w:rPr>
              <w:t>23</w:t>
            </w:r>
          </w:p>
        </w:tc>
        <w:tc>
          <w:tcPr>
            <w:tcW w:w="8952"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SA"/>
              </w:rPr>
              <w:t>严查违法分包转包，严肃查处各行业领域违法分包转包行为，严肃追究发包方、承包方相应法律责任。</w:t>
            </w:r>
          </w:p>
        </w:tc>
        <w:tc>
          <w:tcPr>
            <w:tcW w:w="256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SA"/>
              </w:rPr>
              <w:t>区民政局：安办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0" w:hRule="atLeast"/>
          <w:jc w:val="center"/>
        </w:trPr>
        <w:tc>
          <w:tcPr>
            <w:tcW w:w="69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SA"/>
              </w:rPr>
              <w:t>9</w:t>
            </w:r>
          </w:p>
        </w:tc>
        <w:tc>
          <w:tcPr>
            <w:tcW w:w="111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SA"/>
              </w:rPr>
              <w:t>切实加强劳务派遣灵活用工安全管理；</w:t>
            </w:r>
          </w:p>
        </w:tc>
        <w:tc>
          <w:tcPr>
            <w:tcW w:w="495"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SA"/>
              </w:rPr>
              <w:t>24</w:t>
            </w:r>
          </w:p>
        </w:tc>
        <w:tc>
          <w:tcPr>
            <w:tcW w:w="8952"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SA"/>
              </w:rPr>
              <w:t>加大法规政策宣传。引导劳务派遣人员履行劳动法律义务和社会责任，自觉学法、知法和守法，不踩法律红线。</w:t>
            </w:r>
          </w:p>
        </w:tc>
        <w:tc>
          <w:tcPr>
            <w:tcW w:w="2565"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SA"/>
              </w:rPr>
              <w:t>各乡镇（街道）：分管负责人           下属事业单位：负责人              社会养老机构：负责人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0" w:hRule="atLeast"/>
          <w:jc w:val="center"/>
        </w:trPr>
        <w:tc>
          <w:tcPr>
            <w:tcW w:w="69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i w:val="0"/>
                <w:color w:val="000000"/>
                <w:sz w:val="18"/>
                <w:szCs w:val="18"/>
                <w:u w:val="none"/>
              </w:rPr>
            </w:pPr>
          </w:p>
        </w:tc>
        <w:tc>
          <w:tcPr>
            <w:tcW w:w="111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i w:val="0"/>
                <w:color w:val="000000"/>
                <w:sz w:val="18"/>
                <w:szCs w:val="18"/>
                <w:u w:val="none"/>
              </w:rPr>
            </w:pPr>
          </w:p>
        </w:tc>
        <w:tc>
          <w:tcPr>
            <w:tcW w:w="495"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i w:val="0"/>
                <w:color w:val="000000"/>
                <w:sz w:val="18"/>
                <w:szCs w:val="18"/>
                <w:u w:val="none"/>
              </w:rPr>
            </w:pPr>
          </w:p>
        </w:tc>
        <w:tc>
          <w:tcPr>
            <w:tcW w:w="8952"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default" w:ascii="Times New Roman" w:hAnsi="Times New Roman" w:eastAsia="方正仿宋_GBK" w:cs="Times New Roman"/>
                <w:i w:val="0"/>
                <w:color w:val="000000"/>
                <w:sz w:val="18"/>
                <w:szCs w:val="18"/>
                <w:u w:val="none"/>
              </w:rPr>
            </w:pPr>
          </w:p>
        </w:tc>
        <w:tc>
          <w:tcPr>
            <w:tcW w:w="256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5" w:hRule="atLeast"/>
          <w:jc w:val="center"/>
        </w:trPr>
        <w:tc>
          <w:tcPr>
            <w:tcW w:w="690" w:type="dxa"/>
            <w:vMerge w:val="restart"/>
            <w:tcBorders>
              <w:left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SA"/>
              </w:rPr>
              <w:t>10</w:t>
            </w:r>
          </w:p>
        </w:tc>
        <w:tc>
          <w:tcPr>
            <w:tcW w:w="1110" w:type="dxa"/>
            <w:vMerge w:val="restart"/>
            <w:tcBorders>
              <w:left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SA"/>
              </w:rPr>
              <w:t>重拳出击开展打非治违；</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SA"/>
              </w:rPr>
              <w:t>25</w:t>
            </w:r>
          </w:p>
        </w:tc>
        <w:tc>
          <w:tcPr>
            <w:tcW w:w="8952" w:type="dxa"/>
            <w:gridSpan w:val="2"/>
            <w:tcBorders>
              <w:top w:val="single" w:color="000000" w:sz="4" w:space="0"/>
              <w:left w:val="single" w:color="000000" w:sz="4" w:space="0"/>
              <w:bottom w:val="single" w:color="000000" w:sz="4" w:space="0"/>
            </w:tcBorders>
            <w:vAlign w:val="center"/>
          </w:tcPr>
          <w:p>
            <w:pPr>
              <w:widowControl/>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SA"/>
              </w:rPr>
              <w:t>严格履行“管行业必须管打非”的工作职责，深入开展各行业领域“打非治违”专项行动。</w:t>
            </w:r>
          </w:p>
        </w:tc>
        <w:tc>
          <w:tcPr>
            <w:tcW w:w="2565"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SA"/>
              </w:rPr>
              <w:t>区民政局：安办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jc w:val="center"/>
        </w:trPr>
        <w:tc>
          <w:tcPr>
            <w:tcW w:w="690" w:type="dxa"/>
            <w:vMerge w:val="continue"/>
            <w:tcBorders>
              <w:left w:val="single" w:color="000000" w:sz="4" w:space="0"/>
              <w:bottom w:val="single" w:color="auto" w:sz="4" w:space="0"/>
              <w:right w:val="single" w:color="000000" w:sz="4" w:space="0"/>
            </w:tcBorders>
            <w:vAlign w:val="center"/>
          </w:tcPr>
          <w:p>
            <w:pPr>
              <w:jc w:val="center"/>
              <w:rPr>
                <w:rFonts w:hint="default" w:ascii="Times New Roman" w:hAnsi="Times New Roman" w:eastAsia="方正仿宋_GBK" w:cs="Times New Roman"/>
                <w:i w:val="0"/>
                <w:color w:val="000000"/>
                <w:sz w:val="18"/>
                <w:szCs w:val="18"/>
                <w:u w:val="none"/>
              </w:rPr>
            </w:pPr>
          </w:p>
        </w:tc>
        <w:tc>
          <w:tcPr>
            <w:tcW w:w="1110" w:type="dxa"/>
            <w:vMerge w:val="continue"/>
            <w:tcBorders>
              <w:left w:val="single" w:color="000000" w:sz="4" w:space="0"/>
              <w:bottom w:val="single" w:color="auto" w:sz="4" w:space="0"/>
              <w:right w:val="single" w:color="000000" w:sz="4" w:space="0"/>
            </w:tcBorders>
            <w:vAlign w:val="center"/>
          </w:tcPr>
          <w:p>
            <w:pPr>
              <w:jc w:val="center"/>
              <w:rPr>
                <w:rFonts w:hint="default" w:ascii="Times New Roman" w:hAnsi="Times New Roman" w:eastAsia="方正仿宋_GBK" w:cs="Times New Roman"/>
                <w:i w:val="0"/>
                <w:color w:val="000000"/>
                <w:sz w:val="18"/>
                <w:szCs w:val="18"/>
                <w:u w:val="none"/>
              </w:rPr>
            </w:pPr>
          </w:p>
        </w:tc>
        <w:tc>
          <w:tcPr>
            <w:tcW w:w="495" w:type="dxa"/>
            <w:tcBorders>
              <w:top w:val="single" w:color="000000" w:sz="4" w:space="0"/>
              <w:left w:val="single" w:color="000000" w:sz="4" w:space="0"/>
              <w:bottom w:val="single" w:color="auto" w:sz="4" w:space="0"/>
              <w:right w:val="single" w:color="000000" w:sz="4" w:space="0"/>
            </w:tcBorders>
            <w:vAlign w:val="center"/>
          </w:tcPr>
          <w:p>
            <w:pPr>
              <w:widowControl/>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SA"/>
              </w:rPr>
              <w:t>26</w:t>
            </w:r>
          </w:p>
        </w:tc>
        <w:tc>
          <w:tcPr>
            <w:tcW w:w="8952" w:type="dxa"/>
            <w:gridSpan w:val="2"/>
            <w:tcBorders>
              <w:top w:val="single" w:color="000000" w:sz="4" w:space="0"/>
              <w:left w:val="single" w:color="000000" w:sz="4" w:space="0"/>
              <w:bottom w:val="single" w:color="auto" w:sz="4" w:space="0"/>
            </w:tcBorders>
            <w:vAlign w:val="center"/>
          </w:tcPr>
          <w:p>
            <w:pPr>
              <w:widowControl/>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SA"/>
              </w:rPr>
              <w:t>健全安全生产领域失信联合惩戒黑名单制度，及时点名曝光安全生产违法行为，形成安全生产领域“一处失信、处处受限”的惩戒效果。</w:t>
            </w:r>
          </w:p>
        </w:tc>
        <w:tc>
          <w:tcPr>
            <w:tcW w:w="2565" w:type="dxa"/>
            <w:gridSpan w:val="2"/>
            <w:vMerge w:val="continue"/>
            <w:tcBorders>
              <w:top w:val="single" w:color="000000" w:sz="4" w:space="0"/>
              <w:left w:val="single" w:color="000000" w:sz="4" w:space="0"/>
              <w:bottom w:val="single" w:color="auto" w:sz="4" w:space="0"/>
              <w:right w:val="single" w:color="000000" w:sz="4" w:space="0"/>
            </w:tcBorders>
            <w:vAlign w:val="center"/>
          </w:tcPr>
          <w:p>
            <w:pPr>
              <w:jc w:val="center"/>
              <w:rPr>
                <w:rFonts w:hint="default" w:ascii="Times New Roman" w:hAnsi="Times New Roman" w:eastAsia="方正仿宋_GBK"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35" w:hRule="atLeast"/>
          <w:jc w:val="center"/>
        </w:trPr>
        <w:tc>
          <w:tcPr>
            <w:tcW w:w="69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SA"/>
              </w:rPr>
              <w:t>11</w:t>
            </w:r>
          </w:p>
        </w:tc>
        <w:tc>
          <w:tcPr>
            <w:tcW w:w="1110" w:type="dxa"/>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SA"/>
              </w:rPr>
              <w:t>坚决整治执法检查宽松软问题。安全生产不得选择性执法，强化精准执法；</w:t>
            </w:r>
          </w:p>
        </w:tc>
        <w:tc>
          <w:tcPr>
            <w:tcW w:w="49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SA"/>
              </w:rPr>
              <w:t>27</w:t>
            </w:r>
          </w:p>
        </w:tc>
        <w:tc>
          <w:tcPr>
            <w:tcW w:w="8952" w:type="dxa"/>
            <w:gridSpan w:val="2"/>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SA"/>
              </w:rPr>
              <w:t>加强风险和问题研判，确定重点检查对象，紧紧围绕“两重大一突出”，制定年度监督检查执法计划，严格按照执法计划实施执法任务，制定执法检查方案，强化精准执法。</w:t>
            </w:r>
          </w:p>
        </w:tc>
        <w:tc>
          <w:tcPr>
            <w:tcW w:w="2565" w:type="dxa"/>
            <w:gridSpan w:val="2"/>
            <w:vMerge w:val="restart"/>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SA"/>
              </w:rPr>
              <w:t>区民政局：安办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30" w:hRule="atLeast"/>
          <w:jc w:val="center"/>
        </w:trPr>
        <w:tc>
          <w:tcPr>
            <w:tcW w:w="690" w:type="dxa"/>
            <w:vMerge w:val="continue"/>
            <w:tcBorders>
              <w:top w:val="single" w:color="auto" w:sz="4" w:space="0"/>
              <w:left w:val="single" w:color="auto" w:sz="4" w:space="0"/>
              <w:right w:val="single" w:color="000000" w:sz="4" w:space="0"/>
            </w:tcBorders>
            <w:vAlign w:val="center"/>
          </w:tcPr>
          <w:p>
            <w:pPr>
              <w:jc w:val="center"/>
              <w:rPr>
                <w:rFonts w:hint="default" w:ascii="Times New Roman" w:hAnsi="Times New Roman" w:eastAsia="方正仿宋_GBK" w:cs="Times New Roman"/>
                <w:i w:val="0"/>
                <w:color w:val="000000"/>
                <w:sz w:val="18"/>
                <w:szCs w:val="18"/>
                <w:u w:val="none"/>
              </w:rPr>
            </w:pPr>
          </w:p>
        </w:tc>
        <w:tc>
          <w:tcPr>
            <w:tcW w:w="1110" w:type="dxa"/>
            <w:vMerge w:val="continue"/>
            <w:tcBorders>
              <w:top w:val="single" w:color="auto" w:sz="4" w:space="0"/>
              <w:left w:val="single" w:color="000000" w:sz="4" w:space="0"/>
              <w:right w:val="single" w:color="000000" w:sz="4" w:space="0"/>
            </w:tcBorders>
            <w:vAlign w:val="center"/>
          </w:tcPr>
          <w:p>
            <w:pPr>
              <w:jc w:val="center"/>
              <w:rPr>
                <w:rFonts w:hint="default" w:ascii="Times New Roman" w:hAnsi="Times New Roman" w:eastAsia="方正仿宋_GBK" w:cs="Times New Roman"/>
                <w:i w:val="0"/>
                <w:color w:val="000000"/>
                <w:sz w:val="18"/>
                <w:szCs w:val="18"/>
                <w:u w:val="none"/>
              </w:rPr>
            </w:pPr>
          </w:p>
        </w:tc>
        <w:tc>
          <w:tcPr>
            <w:tcW w:w="495" w:type="dxa"/>
            <w:tcBorders>
              <w:top w:val="single" w:color="auto"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SA"/>
              </w:rPr>
              <w:t>28</w:t>
            </w:r>
          </w:p>
        </w:tc>
        <w:tc>
          <w:tcPr>
            <w:tcW w:w="8952" w:type="dxa"/>
            <w:gridSpan w:val="2"/>
            <w:tcBorders>
              <w:top w:val="single" w:color="auto"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SA"/>
              </w:rPr>
              <w:t>必须做到执法“清零”，持续提升执法检查强度、问题查找强度和执法处罚强度，执法力量不足或专业人员缺乏的，聘请行业专家或第三方技术机构，参与部门和属地执法检查。利用好安全专家解决安全检查查不出问题的难题。在重要节点和特殊敏感时期，组织专家深入一线开展重点检查。</w:t>
            </w:r>
          </w:p>
        </w:tc>
        <w:tc>
          <w:tcPr>
            <w:tcW w:w="2565" w:type="dxa"/>
            <w:gridSpan w:val="2"/>
            <w:vMerge w:val="continue"/>
            <w:tcBorders>
              <w:top w:val="single" w:color="auto" w:sz="4" w:space="0"/>
              <w:left w:val="single" w:color="000000" w:sz="4" w:space="0"/>
              <w:right w:val="single" w:color="auto" w:sz="4" w:space="0"/>
            </w:tcBorders>
            <w:vAlign w:val="center"/>
          </w:tcPr>
          <w:p>
            <w:pPr>
              <w:jc w:val="center"/>
              <w:rPr>
                <w:rFonts w:hint="default" w:ascii="Times New Roman" w:hAnsi="Times New Roman" w:eastAsia="方正仿宋_GBK"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70" w:hRule="atLeast"/>
          <w:jc w:val="center"/>
        </w:trPr>
        <w:tc>
          <w:tcPr>
            <w:tcW w:w="690" w:type="dxa"/>
            <w:vMerge w:val="continue"/>
            <w:tcBorders>
              <w:top w:val="single" w:color="000000" w:sz="4" w:space="0"/>
              <w:left w:val="single" w:color="auto" w:sz="4" w:space="0"/>
              <w:right w:val="single" w:color="000000" w:sz="4" w:space="0"/>
            </w:tcBorders>
            <w:vAlign w:val="center"/>
          </w:tcPr>
          <w:p>
            <w:pPr>
              <w:jc w:val="center"/>
              <w:rPr>
                <w:rFonts w:hint="default" w:ascii="Times New Roman" w:hAnsi="Times New Roman" w:eastAsia="方正仿宋_GBK" w:cs="Times New Roman"/>
                <w:i w:val="0"/>
                <w:color w:val="000000"/>
                <w:sz w:val="18"/>
                <w:szCs w:val="18"/>
                <w:u w:val="none"/>
              </w:rPr>
            </w:pPr>
          </w:p>
        </w:tc>
        <w:tc>
          <w:tcPr>
            <w:tcW w:w="1110" w:type="dxa"/>
            <w:vMerge w:val="continue"/>
            <w:tcBorders>
              <w:top w:val="single" w:color="000000" w:sz="4" w:space="0"/>
              <w:left w:val="single" w:color="000000" w:sz="4" w:space="0"/>
              <w:right w:val="single" w:color="000000" w:sz="4" w:space="0"/>
            </w:tcBorders>
            <w:vAlign w:val="center"/>
          </w:tcPr>
          <w:p>
            <w:pPr>
              <w:jc w:val="center"/>
              <w:rPr>
                <w:rFonts w:hint="default" w:ascii="Times New Roman" w:hAnsi="Times New Roman" w:eastAsia="方正仿宋_GBK" w:cs="Times New Roman"/>
                <w:i w:val="0"/>
                <w:color w:val="000000"/>
                <w:sz w:val="18"/>
                <w:szCs w:val="18"/>
                <w:u w:val="none"/>
              </w:rPr>
            </w:pP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SA"/>
              </w:rPr>
              <w:t>29</w:t>
            </w:r>
          </w:p>
        </w:tc>
        <w:tc>
          <w:tcPr>
            <w:tcW w:w="8952"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SA"/>
              </w:rPr>
              <w:t>完善行政处罚自由裁量标准，细化行政处罚等级，合理确定自由裁量幅度，防止执法随意、标准不一，确保执法处罚公平、公正、准确、合法。</w:t>
            </w:r>
          </w:p>
        </w:tc>
        <w:tc>
          <w:tcPr>
            <w:tcW w:w="2565" w:type="dxa"/>
            <w:gridSpan w:val="2"/>
            <w:vMerge w:val="continue"/>
            <w:tcBorders>
              <w:top w:val="single" w:color="000000" w:sz="4" w:space="0"/>
              <w:left w:val="single" w:color="000000" w:sz="4" w:space="0"/>
              <w:right w:val="single" w:color="auto" w:sz="4" w:space="0"/>
            </w:tcBorders>
            <w:vAlign w:val="center"/>
          </w:tcPr>
          <w:p>
            <w:pPr>
              <w:jc w:val="center"/>
              <w:rPr>
                <w:rFonts w:hint="default" w:ascii="Times New Roman" w:hAnsi="Times New Roman" w:eastAsia="方正仿宋_GBK"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690" w:type="dxa"/>
            <w:vMerge w:val="continue"/>
            <w:tcBorders>
              <w:top w:val="single" w:color="000000" w:sz="4" w:space="0"/>
              <w:left w:val="single" w:color="auto" w:sz="4" w:space="0"/>
              <w:right w:val="single" w:color="000000" w:sz="4" w:space="0"/>
            </w:tcBorders>
            <w:vAlign w:val="center"/>
          </w:tcPr>
          <w:p>
            <w:pPr>
              <w:jc w:val="center"/>
              <w:rPr>
                <w:rFonts w:hint="default" w:ascii="Times New Roman" w:hAnsi="Times New Roman" w:eastAsia="方正仿宋_GBK" w:cs="Times New Roman"/>
                <w:i w:val="0"/>
                <w:color w:val="000000"/>
                <w:sz w:val="18"/>
                <w:szCs w:val="18"/>
                <w:u w:val="none"/>
              </w:rPr>
            </w:pPr>
          </w:p>
        </w:tc>
        <w:tc>
          <w:tcPr>
            <w:tcW w:w="1110" w:type="dxa"/>
            <w:vMerge w:val="continue"/>
            <w:tcBorders>
              <w:top w:val="single" w:color="000000" w:sz="4" w:space="0"/>
              <w:left w:val="single" w:color="000000" w:sz="4" w:space="0"/>
              <w:right w:val="single" w:color="000000" w:sz="4" w:space="0"/>
            </w:tcBorders>
            <w:vAlign w:val="center"/>
          </w:tcPr>
          <w:p>
            <w:pPr>
              <w:jc w:val="center"/>
              <w:rPr>
                <w:rFonts w:hint="default" w:ascii="Times New Roman" w:hAnsi="Times New Roman" w:eastAsia="方正仿宋_GBK" w:cs="Times New Roman"/>
                <w:i w:val="0"/>
                <w:color w:val="000000"/>
                <w:sz w:val="18"/>
                <w:szCs w:val="18"/>
                <w:u w:val="none"/>
              </w:rPr>
            </w:pP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SA"/>
              </w:rPr>
              <w:t>30</w:t>
            </w:r>
          </w:p>
        </w:tc>
        <w:tc>
          <w:tcPr>
            <w:tcW w:w="8952"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SA"/>
              </w:rPr>
              <w:t>实行执法</w:t>
            </w:r>
            <w:bookmarkStart w:id="0" w:name="_GoBack"/>
            <w:r>
              <w:rPr>
                <w:rFonts w:hint="default" w:ascii="Times New Roman" w:hAnsi="Times New Roman" w:eastAsia="方正仿宋_GBK" w:cs="Times New Roman"/>
                <w:i w:val="0"/>
                <w:color w:val="auto"/>
                <w:kern w:val="0"/>
                <w:sz w:val="18"/>
                <w:szCs w:val="18"/>
                <w:u w:val="none"/>
                <w:lang w:val="en-US" w:eastAsia="zh-CN" w:bidi="ar-SA"/>
              </w:rPr>
              <w:t>“双随机</w:t>
            </w:r>
            <w:r>
              <w:rPr>
                <w:rFonts w:hint="eastAsia" w:ascii="Times New Roman" w:hAnsi="Times New Roman" w:eastAsia="方正仿宋_GBK" w:cs="Times New Roman"/>
                <w:i w:val="0"/>
                <w:color w:val="auto"/>
                <w:kern w:val="0"/>
                <w:sz w:val="18"/>
                <w:szCs w:val="18"/>
                <w:u w:val="none"/>
                <w:lang w:val="en-US" w:eastAsia="zh-CN" w:bidi="ar-SA"/>
              </w:rPr>
              <w:t>、</w:t>
            </w:r>
            <w:r>
              <w:rPr>
                <w:rFonts w:hint="default" w:ascii="Times New Roman" w:hAnsi="Times New Roman" w:eastAsia="方正仿宋_GBK" w:cs="Times New Roman"/>
                <w:i w:val="0"/>
                <w:color w:val="auto"/>
                <w:kern w:val="0"/>
                <w:sz w:val="18"/>
                <w:szCs w:val="18"/>
                <w:u w:val="none"/>
                <w:lang w:val="en-US" w:eastAsia="zh-CN" w:bidi="ar-SA"/>
              </w:rPr>
              <w:t>一公开”</w:t>
            </w:r>
            <w:bookmarkEnd w:id="0"/>
            <w:r>
              <w:rPr>
                <w:rFonts w:hint="default" w:ascii="Times New Roman" w:hAnsi="Times New Roman" w:eastAsia="方正仿宋_GBK" w:cs="Times New Roman"/>
                <w:i w:val="0"/>
                <w:color w:val="000000"/>
                <w:kern w:val="0"/>
                <w:sz w:val="18"/>
                <w:szCs w:val="18"/>
                <w:u w:val="none"/>
                <w:lang w:val="en-US" w:eastAsia="zh-CN" w:bidi="ar-SA"/>
              </w:rPr>
              <w:t>机制，防止出现选择性执法。</w:t>
            </w:r>
          </w:p>
        </w:tc>
        <w:tc>
          <w:tcPr>
            <w:tcW w:w="2565" w:type="dxa"/>
            <w:gridSpan w:val="2"/>
            <w:vMerge w:val="continue"/>
            <w:tcBorders>
              <w:top w:val="single" w:color="000000" w:sz="4" w:space="0"/>
              <w:left w:val="single" w:color="000000" w:sz="4" w:space="0"/>
              <w:right w:val="single" w:color="auto" w:sz="4" w:space="0"/>
            </w:tcBorders>
            <w:vAlign w:val="center"/>
          </w:tcPr>
          <w:p>
            <w:pPr>
              <w:jc w:val="center"/>
              <w:rPr>
                <w:rFonts w:hint="default" w:ascii="Times New Roman" w:hAnsi="Times New Roman" w:eastAsia="方正仿宋_GBK"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95" w:hRule="atLeast"/>
          <w:jc w:val="center"/>
        </w:trPr>
        <w:tc>
          <w:tcPr>
            <w:tcW w:w="690" w:type="dxa"/>
            <w:vMerge w:val="continue"/>
            <w:tcBorders>
              <w:top w:val="single" w:color="000000" w:sz="4" w:space="0"/>
              <w:left w:val="single" w:color="auto" w:sz="4" w:space="0"/>
              <w:right w:val="single" w:color="000000" w:sz="4" w:space="0"/>
            </w:tcBorders>
            <w:vAlign w:val="center"/>
          </w:tcPr>
          <w:p>
            <w:pPr>
              <w:jc w:val="center"/>
              <w:rPr>
                <w:rFonts w:hint="default" w:ascii="Times New Roman" w:hAnsi="Times New Roman" w:eastAsia="方正仿宋_GBK" w:cs="Times New Roman"/>
                <w:i w:val="0"/>
                <w:color w:val="000000"/>
                <w:sz w:val="18"/>
                <w:szCs w:val="18"/>
                <w:u w:val="none"/>
              </w:rPr>
            </w:pPr>
          </w:p>
        </w:tc>
        <w:tc>
          <w:tcPr>
            <w:tcW w:w="1110" w:type="dxa"/>
            <w:vMerge w:val="continue"/>
            <w:tcBorders>
              <w:top w:val="single" w:color="000000" w:sz="4" w:space="0"/>
              <w:left w:val="single" w:color="000000" w:sz="4" w:space="0"/>
              <w:right w:val="single" w:color="000000" w:sz="4" w:space="0"/>
            </w:tcBorders>
            <w:vAlign w:val="center"/>
          </w:tcPr>
          <w:p>
            <w:pPr>
              <w:jc w:val="center"/>
              <w:rPr>
                <w:rFonts w:hint="default" w:ascii="Times New Roman" w:hAnsi="Times New Roman" w:eastAsia="方正仿宋_GBK" w:cs="Times New Roman"/>
                <w:i w:val="0"/>
                <w:color w:val="000000"/>
                <w:sz w:val="18"/>
                <w:szCs w:val="18"/>
                <w:u w:val="none"/>
              </w:rPr>
            </w:pP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SA"/>
              </w:rPr>
              <w:t>31</w:t>
            </w:r>
          </w:p>
        </w:tc>
        <w:tc>
          <w:tcPr>
            <w:tcW w:w="8952"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SA"/>
              </w:rPr>
              <w:t>制定并落实执法案卷的定期评审制度。</w:t>
            </w:r>
          </w:p>
        </w:tc>
        <w:tc>
          <w:tcPr>
            <w:tcW w:w="2565" w:type="dxa"/>
            <w:gridSpan w:val="2"/>
            <w:vMerge w:val="continue"/>
            <w:tcBorders>
              <w:top w:val="single" w:color="000000" w:sz="4" w:space="0"/>
              <w:left w:val="single" w:color="000000" w:sz="4" w:space="0"/>
              <w:right w:val="single" w:color="auto" w:sz="4" w:space="0"/>
            </w:tcBorders>
            <w:vAlign w:val="center"/>
          </w:tcPr>
          <w:p>
            <w:pPr>
              <w:jc w:val="center"/>
              <w:rPr>
                <w:rFonts w:hint="default" w:ascii="Times New Roman" w:hAnsi="Times New Roman" w:eastAsia="方正仿宋_GBK"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jc w:val="center"/>
        </w:trPr>
        <w:tc>
          <w:tcPr>
            <w:tcW w:w="690"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SA"/>
              </w:rPr>
              <w:t>12</w:t>
            </w:r>
          </w:p>
        </w:tc>
        <w:tc>
          <w:tcPr>
            <w:tcW w:w="1110" w:type="dxa"/>
            <w:vMerge w:val="restart"/>
            <w:tcBorders>
              <w:top w:val="single" w:color="000000" w:sz="4" w:space="0"/>
              <w:left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SA"/>
              </w:rPr>
              <w:t>加强安全生产监管执法队伍建设。不得以改革为名层层下放执法责任；</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SA"/>
              </w:rPr>
              <w:t>32</w:t>
            </w:r>
          </w:p>
        </w:tc>
        <w:tc>
          <w:tcPr>
            <w:tcW w:w="8952"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SA"/>
              </w:rPr>
              <w:t>加强执法队伍专业化建设，定期组织执法队伍专业培训，提升执法队伍履职能力。</w:t>
            </w:r>
          </w:p>
        </w:tc>
        <w:tc>
          <w:tcPr>
            <w:tcW w:w="2565"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SA"/>
              </w:rPr>
              <w:t>区民政局:党组成员</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80" w:hRule="atLeast"/>
          <w:jc w:val="center"/>
        </w:trPr>
        <w:tc>
          <w:tcPr>
            <w:tcW w:w="690" w:type="dxa"/>
            <w:vMerge w:val="continue"/>
            <w:tcBorders>
              <w:top w:val="single" w:color="000000" w:sz="4" w:space="0"/>
              <w:left w:val="single" w:color="000000" w:sz="4" w:space="0"/>
              <w:right w:val="single" w:color="000000" w:sz="4" w:space="0"/>
            </w:tcBorders>
            <w:vAlign w:val="center"/>
          </w:tcPr>
          <w:p>
            <w:pPr>
              <w:jc w:val="center"/>
              <w:rPr>
                <w:rFonts w:hint="default" w:ascii="Times New Roman" w:hAnsi="Times New Roman" w:eastAsia="方正仿宋_GBK" w:cs="Times New Roman"/>
                <w:i w:val="0"/>
                <w:color w:val="000000"/>
                <w:sz w:val="18"/>
                <w:szCs w:val="18"/>
                <w:u w:val="none"/>
              </w:rPr>
            </w:pPr>
          </w:p>
        </w:tc>
        <w:tc>
          <w:tcPr>
            <w:tcW w:w="1110" w:type="dxa"/>
            <w:vMerge w:val="continue"/>
            <w:tcBorders>
              <w:top w:val="single" w:color="000000" w:sz="4" w:space="0"/>
              <w:left w:val="single" w:color="000000" w:sz="4" w:space="0"/>
              <w:right w:val="single" w:color="000000" w:sz="4" w:space="0"/>
            </w:tcBorders>
            <w:vAlign w:val="center"/>
          </w:tcPr>
          <w:p>
            <w:pPr>
              <w:jc w:val="center"/>
              <w:rPr>
                <w:rFonts w:hint="default" w:ascii="Times New Roman" w:hAnsi="Times New Roman" w:eastAsia="方正仿宋_GBK" w:cs="Times New Roman"/>
                <w:i w:val="0"/>
                <w:color w:val="000000"/>
                <w:sz w:val="18"/>
                <w:szCs w:val="18"/>
                <w:u w:val="none"/>
              </w:rPr>
            </w:pP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SA"/>
              </w:rPr>
              <w:t>33</w:t>
            </w:r>
          </w:p>
        </w:tc>
        <w:tc>
          <w:tcPr>
            <w:tcW w:w="8952"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SA"/>
              </w:rPr>
              <w:t>进一步落实安全生产执法专项编制，配备与行业相适应的专业执法力量。</w:t>
            </w:r>
          </w:p>
        </w:tc>
        <w:tc>
          <w:tcPr>
            <w:tcW w:w="256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50" w:hRule="atLeast"/>
          <w:jc w:val="center"/>
        </w:trPr>
        <w:tc>
          <w:tcPr>
            <w:tcW w:w="690" w:type="dxa"/>
            <w:vMerge w:val="continue"/>
            <w:tcBorders>
              <w:top w:val="single" w:color="000000" w:sz="4" w:space="0"/>
              <w:left w:val="single" w:color="000000" w:sz="4" w:space="0"/>
              <w:right w:val="single" w:color="000000" w:sz="4" w:space="0"/>
            </w:tcBorders>
            <w:vAlign w:val="center"/>
          </w:tcPr>
          <w:p>
            <w:pPr>
              <w:jc w:val="center"/>
              <w:rPr>
                <w:rFonts w:hint="default" w:ascii="Times New Roman" w:hAnsi="Times New Roman" w:eastAsia="方正仿宋_GBK" w:cs="Times New Roman"/>
                <w:i w:val="0"/>
                <w:color w:val="000000"/>
                <w:sz w:val="18"/>
                <w:szCs w:val="18"/>
                <w:u w:val="none"/>
              </w:rPr>
            </w:pPr>
          </w:p>
        </w:tc>
        <w:tc>
          <w:tcPr>
            <w:tcW w:w="1110" w:type="dxa"/>
            <w:vMerge w:val="continue"/>
            <w:tcBorders>
              <w:top w:val="single" w:color="000000" w:sz="4" w:space="0"/>
              <w:left w:val="single" w:color="000000" w:sz="4" w:space="0"/>
              <w:right w:val="single" w:color="000000" w:sz="4" w:space="0"/>
            </w:tcBorders>
            <w:vAlign w:val="center"/>
          </w:tcPr>
          <w:p>
            <w:pPr>
              <w:jc w:val="center"/>
              <w:rPr>
                <w:rFonts w:hint="default" w:ascii="Times New Roman" w:hAnsi="Times New Roman" w:eastAsia="方正仿宋_GBK" w:cs="Times New Roman"/>
                <w:i w:val="0"/>
                <w:color w:val="000000"/>
                <w:sz w:val="18"/>
                <w:szCs w:val="18"/>
                <w:u w:val="none"/>
              </w:rPr>
            </w:pP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SA"/>
              </w:rPr>
              <w:t>34</w:t>
            </w:r>
          </w:p>
        </w:tc>
        <w:tc>
          <w:tcPr>
            <w:tcW w:w="8952"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SA"/>
              </w:rPr>
              <w:t>建立健全执法程序、审核、监督、考核制度，制定执法手册，规范执法行为，确保执法质量。</w:t>
            </w:r>
          </w:p>
        </w:tc>
        <w:tc>
          <w:tcPr>
            <w:tcW w:w="256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690" w:type="dxa"/>
            <w:vMerge w:val="continue"/>
            <w:tcBorders>
              <w:top w:val="single" w:color="000000" w:sz="4" w:space="0"/>
              <w:left w:val="single" w:color="000000" w:sz="4" w:space="0"/>
              <w:right w:val="single" w:color="000000" w:sz="4" w:space="0"/>
            </w:tcBorders>
            <w:vAlign w:val="center"/>
          </w:tcPr>
          <w:p>
            <w:pPr>
              <w:jc w:val="center"/>
              <w:rPr>
                <w:rFonts w:hint="default" w:ascii="Times New Roman" w:hAnsi="Times New Roman" w:eastAsia="方正仿宋_GBK" w:cs="Times New Roman"/>
                <w:i w:val="0"/>
                <w:color w:val="000000"/>
                <w:sz w:val="18"/>
                <w:szCs w:val="18"/>
                <w:u w:val="none"/>
              </w:rPr>
            </w:pPr>
          </w:p>
        </w:tc>
        <w:tc>
          <w:tcPr>
            <w:tcW w:w="1110" w:type="dxa"/>
            <w:vMerge w:val="continue"/>
            <w:tcBorders>
              <w:top w:val="single" w:color="000000" w:sz="4" w:space="0"/>
              <w:left w:val="single" w:color="000000" w:sz="4" w:space="0"/>
              <w:right w:val="single" w:color="000000" w:sz="4" w:space="0"/>
            </w:tcBorders>
            <w:vAlign w:val="center"/>
          </w:tcPr>
          <w:p>
            <w:pPr>
              <w:jc w:val="center"/>
              <w:rPr>
                <w:rFonts w:hint="default" w:ascii="Times New Roman" w:hAnsi="Times New Roman" w:eastAsia="方正仿宋_GBK" w:cs="Times New Roman"/>
                <w:i w:val="0"/>
                <w:color w:val="000000"/>
                <w:sz w:val="18"/>
                <w:szCs w:val="18"/>
                <w:u w:val="none"/>
              </w:rPr>
            </w:pP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SA"/>
              </w:rPr>
              <w:t>35</w:t>
            </w:r>
          </w:p>
        </w:tc>
        <w:tc>
          <w:tcPr>
            <w:tcW w:w="8952"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SA"/>
              </w:rPr>
              <w:t>加强行政执法证培训考试力度，确保执法人员全员持证上岗。</w:t>
            </w:r>
          </w:p>
        </w:tc>
        <w:tc>
          <w:tcPr>
            <w:tcW w:w="2565" w:type="dxa"/>
            <w:gridSpan w:val="2"/>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55" w:hRule="atLeast"/>
          <w:jc w:val="center"/>
        </w:trPr>
        <w:tc>
          <w:tcPr>
            <w:tcW w:w="69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SA"/>
              </w:rPr>
              <w:t>13</w:t>
            </w:r>
          </w:p>
        </w:tc>
        <w:tc>
          <w:tcPr>
            <w:tcW w:w="111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SA"/>
              </w:rPr>
              <w:t>重奖激励安全生产举报；</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SA"/>
              </w:rPr>
              <w:t>36</w:t>
            </w:r>
          </w:p>
        </w:tc>
        <w:tc>
          <w:tcPr>
            <w:tcW w:w="8952"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SA"/>
              </w:rPr>
              <w:t>大力宣传12350安全生产举报热线电话和《安全生产举报奖励办法》，发动群众积极举报身边的重大安全隐患和安全生产违法违规行为。</w:t>
            </w:r>
          </w:p>
        </w:tc>
        <w:tc>
          <w:tcPr>
            <w:tcW w:w="2565"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SA"/>
              </w:rPr>
              <w:t>区民政局：安办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75" w:hRule="atLeast"/>
          <w:jc w:val="center"/>
        </w:trPr>
        <w:tc>
          <w:tcPr>
            <w:tcW w:w="69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i w:val="0"/>
                <w:color w:val="000000"/>
                <w:sz w:val="18"/>
                <w:szCs w:val="18"/>
                <w:u w:val="none"/>
              </w:rPr>
            </w:pPr>
          </w:p>
        </w:tc>
        <w:tc>
          <w:tcPr>
            <w:tcW w:w="111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i w:val="0"/>
                <w:color w:val="000000"/>
                <w:sz w:val="18"/>
                <w:szCs w:val="18"/>
                <w:u w:val="none"/>
              </w:rPr>
            </w:pP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SA"/>
              </w:rPr>
              <w:t>37</w:t>
            </w:r>
          </w:p>
        </w:tc>
        <w:tc>
          <w:tcPr>
            <w:tcW w:w="8952"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SA"/>
              </w:rPr>
              <w:t>用好安全生产“吹哨人”制度，鼓励企业内部员工有奖举报安全生产违法行为；督促生产经营单位建立健全内部举报奖励制度，将内部举报奖励制度纳入员工三级安全教育培训内容。</w:t>
            </w:r>
          </w:p>
        </w:tc>
        <w:tc>
          <w:tcPr>
            <w:tcW w:w="256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285" w:hRule="atLeast"/>
          <w:jc w:val="center"/>
        </w:trPr>
        <w:tc>
          <w:tcPr>
            <w:tcW w:w="69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i w:val="0"/>
                <w:color w:val="000000"/>
                <w:sz w:val="18"/>
                <w:szCs w:val="18"/>
                <w:u w:val="none"/>
              </w:rPr>
            </w:pPr>
          </w:p>
        </w:tc>
        <w:tc>
          <w:tcPr>
            <w:tcW w:w="111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i w:val="0"/>
                <w:color w:val="000000"/>
                <w:sz w:val="18"/>
                <w:szCs w:val="18"/>
                <w:u w:val="none"/>
              </w:rPr>
            </w:pP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SA"/>
              </w:rPr>
              <w:t>38</w:t>
            </w:r>
          </w:p>
        </w:tc>
        <w:tc>
          <w:tcPr>
            <w:tcW w:w="8952"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SA"/>
              </w:rPr>
              <w:t>依法保护举报人，对泄露举报人信息的从严处理。</w:t>
            </w:r>
          </w:p>
        </w:tc>
        <w:tc>
          <w:tcPr>
            <w:tcW w:w="256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500" w:hRule="atLeast"/>
          <w:jc w:val="center"/>
        </w:trPr>
        <w:tc>
          <w:tcPr>
            <w:tcW w:w="690" w:type="dxa"/>
            <w:tcBorders>
              <w:top w:val="single" w:color="000000" w:sz="4" w:space="0"/>
              <w:left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SA"/>
              </w:rPr>
              <w:t>14</w:t>
            </w:r>
          </w:p>
        </w:tc>
        <w:tc>
          <w:tcPr>
            <w:tcW w:w="1110" w:type="dxa"/>
            <w:tcBorders>
              <w:top w:val="single" w:color="000000" w:sz="4" w:space="0"/>
              <w:left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SA"/>
              </w:rPr>
              <w:t>严肃查处瞒报、谎报、迟报、漏报生产安全事故行为；</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SA"/>
              </w:rPr>
              <w:t>39</w:t>
            </w:r>
          </w:p>
        </w:tc>
        <w:tc>
          <w:tcPr>
            <w:tcW w:w="8952"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SA"/>
              </w:rPr>
              <w:t>必须第一时间将本行业领域生产安全事故报送给区委、区政府和区应急局。属地严格执行“30分钟电话报告”和“1小时书面报告”规定。</w:t>
            </w:r>
          </w:p>
        </w:tc>
        <w:tc>
          <w:tcPr>
            <w:tcW w:w="2565"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SA"/>
              </w:rPr>
              <w:t>区民政局：办公室</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85" w:hRule="atLeast"/>
          <w:jc w:val="center"/>
        </w:trPr>
        <w:tc>
          <w:tcPr>
            <w:tcW w:w="69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SA"/>
              </w:rPr>
              <w:t>15</w:t>
            </w:r>
          </w:p>
        </w:tc>
        <w:tc>
          <w:tcPr>
            <w:tcW w:w="111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SA"/>
              </w:rPr>
              <w:t>统筹做好经济发展安全生产疫情防控，处理好红灯绿灯黄灯之间的关系。</w:t>
            </w: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SA"/>
              </w:rPr>
              <w:t>40</w:t>
            </w:r>
          </w:p>
        </w:tc>
        <w:tc>
          <w:tcPr>
            <w:tcW w:w="8952"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SA"/>
              </w:rPr>
              <w:t>把握好政策基调，坚持稳中求进，高质量统筹好经济发展、疫情防控和安全生产工作。</w:t>
            </w:r>
          </w:p>
        </w:tc>
        <w:tc>
          <w:tcPr>
            <w:tcW w:w="2565"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SA"/>
              </w:rPr>
              <w:t>区民政局:福利科                    各乡镇（街道）：分管负责人           下属事业单位：负责人             社会养老机构：负责人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55" w:hRule="atLeast"/>
          <w:jc w:val="center"/>
        </w:trPr>
        <w:tc>
          <w:tcPr>
            <w:tcW w:w="69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i w:val="0"/>
                <w:color w:val="000000"/>
                <w:sz w:val="18"/>
                <w:szCs w:val="18"/>
                <w:u w:val="none"/>
              </w:rPr>
            </w:pPr>
          </w:p>
        </w:tc>
        <w:tc>
          <w:tcPr>
            <w:tcW w:w="111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i w:val="0"/>
                <w:color w:val="000000"/>
                <w:sz w:val="18"/>
                <w:szCs w:val="18"/>
                <w:u w:val="none"/>
              </w:rPr>
            </w:pP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SA"/>
              </w:rPr>
              <w:t>41</w:t>
            </w:r>
          </w:p>
        </w:tc>
        <w:tc>
          <w:tcPr>
            <w:tcW w:w="8952"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SA"/>
              </w:rPr>
              <w:t>将疫情防控工作纳入“两单两卡”建设，在“知风险、明职责、会操作、能应急”工作要求中加入疫情防控相关内容，提升民政领域安全管理和疫情防控工作水平。</w:t>
            </w:r>
          </w:p>
        </w:tc>
        <w:tc>
          <w:tcPr>
            <w:tcW w:w="256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i w:val="0"/>
                <w:color w:val="000000"/>
                <w:sz w:val="18"/>
                <w:szCs w:val="18"/>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95" w:hRule="atLeast"/>
          <w:jc w:val="center"/>
        </w:trPr>
        <w:tc>
          <w:tcPr>
            <w:tcW w:w="69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i w:val="0"/>
                <w:color w:val="000000"/>
                <w:sz w:val="18"/>
                <w:szCs w:val="18"/>
                <w:u w:val="none"/>
              </w:rPr>
            </w:pPr>
          </w:p>
        </w:tc>
        <w:tc>
          <w:tcPr>
            <w:tcW w:w="111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i w:val="0"/>
                <w:color w:val="000000"/>
                <w:sz w:val="18"/>
                <w:szCs w:val="18"/>
                <w:u w:val="none"/>
              </w:rPr>
            </w:pPr>
          </w:p>
        </w:tc>
        <w:tc>
          <w:tcPr>
            <w:tcW w:w="49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SA"/>
              </w:rPr>
              <w:t>42</w:t>
            </w:r>
          </w:p>
        </w:tc>
        <w:tc>
          <w:tcPr>
            <w:tcW w:w="8952"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方正仿宋_GBK" w:cs="Times New Roman"/>
                <w:i w:val="0"/>
                <w:color w:val="000000"/>
                <w:sz w:val="18"/>
                <w:szCs w:val="18"/>
                <w:u w:val="none"/>
              </w:rPr>
            </w:pPr>
            <w:r>
              <w:rPr>
                <w:rFonts w:hint="default" w:ascii="Times New Roman" w:hAnsi="Times New Roman" w:eastAsia="方正仿宋_GBK" w:cs="Times New Roman"/>
                <w:i w:val="0"/>
                <w:color w:val="000000"/>
                <w:kern w:val="0"/>
                <w:sz w:val="18"/>
                <w:szCs w:val="18"/>
                <w:u w:val="none"/>
                <w:lang w:val="en-US" w:eastAsia="zh-CN" w:bidi="ar-SA"/>
              </w:rPr>
              <w:t>加强服务指导,结合“大排查大整治大执法”、三年行动专项整治、“双防控”机制建设等安全检查，同时了解企业存在的困难问题，及时帮助解决，处理好安全与发展、安全与生产、安全与效益、安全与保供、安全与防疫的关系。</w:t>
            </w:r>
          </w:p>
        </w:tc>
        <w:tc>
          <w:tcPr>
            <w:tcW w:w="2565"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i w:val="0"/>
                <w:color w:val="000000"/>
                <w:sz w:val="18"/>
                <w:szCs w:val="18"/>
                <w:u w:val="none"/>
              </w:rPr>
            </w:pPr>
          </w:p>
        </w:tc>
      </w:tr>
    </w:tbl>
    <w:p>
      <w:pPr>
        <w:rPr>
          <w:rFonts w:hint="default" w:ascii="Times New Roman" w:hAnsi="Times New Roman" w:eastAsia="方正仿宋_GBK" w:cs="Times New Roman"/>
          <w:sz w:val="18"/>
          <w:szCs w:val="18"/>
        </w:rPr>
      </w:pPr>
    </w:p>
    <w:p>
      <w:pPr>
        <w:pStyle w:val="5"/>
        <w:rPr>
          <w:rFonts w:hint="default" w:ascii="Times New Roman" w:hAnsi="Times New Roman" w:eastAsia="方正仿宋_GBK" w:cs="Times New Roman"/>
          <w:sz w:val="18"/>
          <w:szCs w:val="18"/>
        </w:rPr>
      </w:pPr>
    </w:p>
    <w:p>
      <w:pPr>
        <w:pStyle w:val="5"/>
        <w:rPr>
          <w:rFonts w:hint="default" w:ascii="Times New Roman" w:hAnsi="Times New Roman" w:eastAsia="方正仿宋_GBK" w:cs="Times New Roman"/>
          <w:sz w:val="32"/>
          <w:szCs w:val="32"/>
        </w:rPr>
      </w:pPr>
    </w:p>
    <w:p>
      <w:pPr>
        <w:pStyle w:val="5"/>
        <w:rPr>
          <w:rFonts w:hint="default" w:ascii="Times New Roman" w:hAnsi="Times New Roman" w:eastAsia="方正仿宋_GBK" w:cs="Times New Roman"/>
          <w:sz w:val="32"/>
          <w:szCs w:val="32"/>
        </w:rPr>
      </w:pPr>
    </w:p>
    <w:p>
      <w:pPr>
        <w:pStyle w:val="5"/>
        <w:rPr>
          <w:rFonts w:hint="default" w:ascii="Times New Roman" w:hAnsi="Times New Roman" w:eastAsia="方正仿宋_GBK" w:cs="Times New Roman"/>
          <w:sz w:val="32"/>
          <w:szCs w:val="32"/>
        </w:rPr>
      </w:pPr>
    </w:p>
    <w:p>
      <w:pPr>
        <w:pStyle w:val="5"/>
        <w:rPr>
          <w:rFonts w:hint="default" w:ascii="Times New Roman" w:hAnsi="Times New Roman" w:eastAsia="方正仿宋_GBK" w:cs="Times New Roman"/>
          <w:sz w:val="32"/>
          <w:szCs w:val="32"/>
        </w:rPr>
      </w:pPr>
    </w:p>
    <w:p>
      <w:pPr>
        <w:pStyle w:val="5"/>
        <w:rPr>
          <w:rFonts w:hint="default" w:ascii="Times New Roman" w:hAnsi="Times New Roman" w:eastAsia="方正仿宋_GBK" w:cs="Times New Roman"/>
          <w:sz w:val="32"/>
          <w:szCs w:val="32"/>
        </w:rPr>
      </w:pPr>
    </w:p>
    <w:tbl>
      <w:tblPr>
        <w:tblStyle w:val="9"/>
        <w:tblW w:w="14007"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420"/>
        <w:gridCol w:w="1679"/>
        <w:gridCol w:w="58"/>
        <w:gridCol w:w="750"/>
        <w:gridCol w:w="5910"/>
        <w:gridCol w:w="2250"/>
        <w:gridCol w:w="2940"/>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17" w:hRule="atLeast"/>
          <w:jc w:val="center"/>
        </w:trPr>
        <w:tc>
          <w:tcPr>
            <w:tcW w:w="2099" w:type="dxa"/>
            <w:gridSpan w:val="2"/>
            <w:tcBorders>
              <w:top w:val="nil"/>
              <w:left w:val="nil"/>
            </w:tcBorders>
            <w:vAlign w:val="bottom"/>
          </w:tcPr>
          <w:p>
            <w:pPr>
              <w:keepNext w:val="0"/>
              <w:keepLines w:val="0"/>
              <w:pageBreakBefore w:val="0"/>
              <w:widowControl/>
              <w:kinsoku/>
              <w:wordWrap/>
              <w:overflowPunct/>
              <w:topLinePunct w:val="0"/>
              <w:autoSpaceDE/>
              <w:autoSpaceDN/>
              <w:bidi w:val="0"/>
              <w:adjustRightInd/>
              <w:snapToGrid/>
              <w:spacing w:line="560" w:lineRule="exact"/>
              <w:jc w:val="left"/>
              <w:textAlignment w:val="bottom"/>
              <w:rPr>
                <w:rFonts w:hint="default" w:ascii="Times New Roman" w:hAnsi="Times New Roman" w:eastAsia="方正黑体_GBK" w:cs="Times New Roman"/>
                <w:i w:val="0"/>
                <w:color w:val="000000"/>
                <w:sz w:val="32"/>
                <w:szCs w:val="32"/>
                <w:u w:val="none"/>
              </w:rPr>
            </w:pPr>
            <w:r>
              <w:rPr>
                <w:rFonts w:hint="default" w:ascii="Times New Roman" w:hAnsi="Times New Roman" w:eastAsia="方正黑体_GBK" w:cs="Times New Roman"/>
                <w:i w:val="0"/>
                <w:color w:val="000000"/>
                <w:kern w:val="0"/>
                <w:sz w:val="32"/>
                <w:szCs w:val="32"/>
                <w:u w:val="none"/>
                <w:lang w:val="en-US" w:eastAsia="zh-CN" w:bidi="ar-SA"/>
              </w:rPr>
              <w:t>附件2</w:t>
            </w:r>
          </w:p>
        </w:tc>
        <w:tc>
          <w:tcPr>
            <w:tcW w:w="808" w:type="dxa"/>
            <w:gridSpan w:val="2"/>
            <w:tcBorders>
              <w:top w:val="nil"/>
            </w:tcBorders>
            <w:vAlign w:val="bottom"/>
          </w:tcPr>
          <w:p>
            <w:pPr>
              <w:keepNext w:val="0"/>
              <w:keepLines w:val="0"/>
              <w:pageBreakBefore w:val="0"/>
              <w:kinsoku/>
              <w:wordWrap/>
              <w:overflowPunct/>
              <w:topLinePunct w:val="0"/>
              <w:autoSpaceDE/>
              <w:autoSpaceDN/>
              <w:bidi w:val="0"/>
              <w:adjustRightInd/>
              <w:snapToGrid/>
              <w:spacing w:line="560" w:lineRule="exact"/>
              <w:rPr>
                <w:rFonts w:hint="default" w:ascii="Times New Roman" w:hAnsi="Times New Roman" w:eastAsia="宋体" w:cs="Times New Roman"/>
                <w:i w:val="0"/>
                <w:color w:val="000000"/>
                <w:sz w:val="22"/>
                <w:szCs w:val="22"/>
                <w:u w:val="none"/>
              </w:rPr>
            </w:pPr>
          </w:p>
        </w:tc>
        <w:tc>
          <w:tcPr>
            <w:tcW w:w="5910" w:type="dxa"/>
            <w:tcBorders>
              <w:top w:val="nil"/>
            </w:tcBorders>
            <w:vAlign w:val="bottom"/>
          </w:tcPr>
          <w:p>
            <w:pPr>
              <w:keepNext w:val="0"/>
              <w:keepLines w:val="0"/>
              <w:pageBreakBefore w:val="0"/>
              <w:kinsoku/>
              <w:wordWrap/>
              <w:overflowPunct/>
              <w:topLinePunct w:val="0"/>
              <w:autoSpaceDE/>
              <w:autoSpaceDN/>
              <w:bidi w:val="0"/>
              <w:adjustRightInd/>
              <w:snapToGrid/>
              <w:spacing w:line="560" w:lineRule="exact"/>
              <w:rPr>
                <w:rFonts w:hint="default" w:ascii="Times New Roman" w:hAnsi="Times New Roman" w:eastAsia="宋体" w:cs="Times New Roman"/>
                <w:i w:val="0"/>
                <w:color w:val="000000"/>
                <w:sz w:val="22"/>
                <w:szCs w:val="22"/>
                <w:u w:val="none"/>
              </w:rPr>
            </w:pPr>
          </w:p>
        </w:tc>
        <w:tc>
          <w:tcPr>
            <w:tcW w:w="5190" w:type="dxa"/>
            <w:gridSpan w:val="2"/>
            <w:tcBorders>
              <w:top w:val="nil"/>
              <w:right w:val="nil"/>
            </w:tcBorders>
            <w:vAlign w:val="bottom"/>
          </w:tcPr>
          <w:p>
            <w:pPr>
              <w:keepNext w:val="0"/>
              <w:keepLines w:val="0"/>
              <w:pageBreakBefore w:val="0"/>
              <w:kinsoku/>
              <w:wordWrap/>
              <w:overflowPunct/>
              <w:topLinePunct w:val="0"/>
              <w:autoSpaceDE/>
              <w:autoSpaceDN/>
              <w:bidi w:val="0"/>
              <w:adjustRightInd/>
              <w:snapToGrid/>
              <w:spacing w:line="560" w:lineRule="exact"/>
              <w:jc w:val="left"/>
              <w:rPr>
                <w:rFonts w:hint="default" w:ascii="Times New Roman" w:hAnsi="Times New Roman" w:eastAsia="宋体" w:cs="Times New Roman"/>
                <w:i w:val="0"/>
                <w:color w:val="000000"/>
                <w:sz w:val="22"/>
                <w:szCs w:val="22"/>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23" w:hRule="atLeast"/>
          <w:jc w:val="center"/>
        </w:trPr>
        <w:tc>
          <w:tcPr>
            <w:tcW w:w="14007" w:type="dxa"/>
            <w:gridSpan w:val="7"/>
            <w:tcBorders>
              <w:left w:val="nil"/>
              <w:right w:val="nil"/>
            </w:tcBorders>
            <w:vAlign w:val="bottom"/>
          </w:tcPr>
          <w:p>
            <w:pPr>
              <w:keepNext w:val="0"/>
              <w:keepLines w:val="0"/>
              <w:pageBreakBefore w:val="0"/>
              <w:widowControl/>
              <w:kinsoku/>
              <w:wordWrap/>
              <w:overflowPunct/>
              <w:topLinePunct w:val="0"/>
              <w:autoSpaceDE/>
              <w:autoSpaceDN/>
              <w:bidi w:val="0"/>
              <w:adjustRightInd/>
              <w:snapToGrid/>
              <w:spacing w:line="560" w:lineRule="exact"/>
              <w:jc w:val="center"/>
              <w:textAlignment w:val="bottom"/>
              <w:rPr>
                <w:rFonts w:hint="default" w:ascii="Times New Roman" w:hAnsi="Times New Roman" w:eastAsia="方正小标宋_GBK" w:cs="Times New Roman"/>
                <w:i w:val="0"/>
                <w:color w:val="000000"/>
                <w:sz w:val="28"/>
                <w:szCs w:val="28"/>
                <w:u w:val="none"/>
              </w:rPr>
            </w:pPr>
            <w:r>
              <w:rPr>
                <w:rFonts w:hint="default" w:ascii="Times New Roman" w:hAnsi="Times New Roman" w:eastAsia="方正小标宋_GBK" w:cs="Times New Roman"/>
                <w:i w:val="0"/>
                <w:color w:val="000000"/>
                <w:kern w:val="0"/>
                <w:sz w:val="44"/>
                <w:szCs w:val="44"/>
                <w:u w:val="none"/>
                <w:lang w:val="en-US" w:eastAsia="zh-CN" w:bidi="ar-SA"/>
              </w:rPr>
              <w:t>南川区民政局落实安全监管“十条措施”责任分工</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9" w:hRule="atLeast"/>
          <w:jc w:val="center"/>
        </w:trPr>
        <w:tc>
          <w:tcPr>
            <w:tcW w:w="42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黑体_GBK" w:cs="Times New Roman"/>
                <w:b w:val="0"/>
                <w:bCs/>
                <w:i w:val="0"/>
                <w:color w:val="000000"/>
                <w:sz w:val="24"/>
                <w:szCs w:val="24"/>
                <w:u w:val="none"/>
              </w:rPr>
            </w:pPr>
            <w:r>
              <w:rPr>
                <w:rFonts w:hint="default" w:ascii="Times New Roman" w:hAnsi="Times New Roman" w:eastAsia="方正黑体_GBK" w:cs="Times New Roman"/>
                <w:b w:val="0"/>
                <w:bCs/>
                <w:i w:val="0"/>
                <w:color w:val="000000"/>
                <w:kern w:val="0"/>
                <w:sz w:val="24"/>
                <w:szCs w:val="24"/>
                <w:u w:val="none"/>
                <w:lang w:val="en-US" w:eastAsia="zh-CN" w:bidi="ar-SA"/>
              </w:rPr>
              <w:t>序号</w:t>
            </w:r>
          </w:p>
        </w:tc>
        <w:tc>
          <w:tcPr>
            <w:tcW w:w="1737" w:type="dxa"/>
            <w:gridSpan w:val="2"/>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黑体_GBK" w:cs="Times New Roman"/>
                <w:b w:val="0"/>
                <w:bCs/>
                <w:i w:val="0"/>
                <w:color w:val="000000"/>
                <w:sz w:val="24"/>
                <w:szCs w:val="24"/>
                <w:u w:val="none"/>
              </w:rPr>
            </w:pPr>
            <w:r>
              <w:rPr>
                <w:rFonts w:hint="default" w:ascii="Times New Roman" w:hAnsi="Times New Roman" w:eastAsia="方正黑体_GBK" w:cs="Times New Roman"/>
                <w:b w:val="0"/>
                <w:bCs/>
                <w:i w:val="0"/>
                <w:color w:val="000000"/>
                <w:kern w:val="0"/>
                <w:sz w:val="24"/>
                <w:szCs w:val="24"/>
                <w:u w:val="none"/>
                <w:lang w:val="en-US" w:eastAsia="zh-CN" w:bidi="ar-SA"/>
              </w:rPr>
              <w:t>措施内容</w:t>
            </w:r>
          </w:p>
        </w:tc>
        <w:tc>
          <w:tcPr>
            <w:tcW w:w="8910" w:type="dxa"/>
            <w:gridSpan w:val="3"/>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黑体_GBK" w:cs="Times New Roman"/>
                <w:b w:val="0"/>
                <w:bCs/>
                <w:i w:val="0"/>
                <w:color w:val="000000"/>
                <w:sz w:val="24"/>
                <w:szCs w:val="24"/>
                <w:u w:val="none"/>
              </w:rPr>
            </w:pPr>
            <w:r>
              <w:rPr>
                <w:rFonts w:hint="default" w:ascii="Times New Roman" w:hAnsi="Times New Roman" w:eastAsia="方正黑体_GBK" w:cs="Times New Roman"/>
                <w:b w:val="0"/>
                <w:bCs/>
                <w:i w:val="0"/>
                <w:color w:val="000000"/>
                <w:kern w:val="0"/>
                <w:sz w:val="24"/>
                <w:szCs w:val="24"/>
                <w:u w:val="none"/>
                <w:lang w:val="en-US" w:eastAsia="zh-CN" w:bidi="ar-SA"/>
              </w:rPr>
              <w:t>具体实施办法</w:t>
            </w:r>
          </w:p>
        </w:tc>
        <w:tc>
          <w:tcPr>
            <w:tcW w:w="2940" w:type="dxa"/>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400" w:lineRule="exact"/>
              <w:jc w:val="center"/>
              <w:textAlignment w:val="center"/>
              <w:rPr>
                <w:rFonts w:hint="default" w:ascii="Times New Roman" w:hAnsi="Times New Roman" w:eastAsia="方正黑体_GBK" w:cs="Times New Roman"/>
                <w:b w:val="0"/>
                <w:bCs/>
                <w:i w:val="0"/>
                <w:color w:val="000000"/>
                <w:sz w:val="24"/>
                <w:szCs w:val="24"/>
                <w:u w:val="none"/>
              </w:rPr>
            </w:pPr>
            <w:r>
              <w:rPr>
                <w:rFonts w:hint="default" w:ascii="Times New Roman" w:hAnsi="Times New Roman" w:eastAsia="方正黑体_GBK" w:cs="Times New Roman"/>
                <w:b w:val="0"/>
                <w:bCs/>
                <w:i w:val="0"/>
                <w:color w:val="000000"/>
                <w:kern w:val="0"/>
                <w:sz w:val="24"/>
                <w:szCs w:val="24"/>
                <w:u w:val="none"/>
                <w:lang w:val="en-US" w:eastAsia="zh-CN" w:bidi="ar-SA"/>
              </w:rPr>
              <w:t>责任单位和责任人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05" w:hRule="atLeast"/>
          <w:jc w:val="center"/>
        </w:trPr>
        <w:tc>
          <w:tcPr>
            <w:tcW w:w="42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SA"/>
              </w:rPr>
              <w:t>1</w:t>
            </w:r>
          </w:p>
        </w:tc>
        <w:tc>
          <w:tcPr>
            <w:tcW w:w="1737"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SA"/>
              </w:rPr>
              <w:t>安排部署——“两重两新、四个必须”抓发动</w:t>
            </w:r>
          </w:p>
        </w:tc>
        <w:tc>
          <w:tcPr>
            <w:tcW w:w="7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SA"/>
              </w:rPr>
              <w:t>1</w:t>
            </w:r>
          </w:p>
        </w:tc>
        <w:tc>
          <w:tcPr>
            <w:tcW w:w="816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SA"/>
              </w:rPr>
              <w:t>主要负责人是否开展风险研判，细化管控措施，制定工作方案。</w:t>
            </w:r>
          </w:p>
        </w:tc>
        <w:tc>
          <w:tcPr>
            <w:tcW w:w="294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SA"/>
              </w:rPr>
              <w:t>各乡镇（街道）：分管负责人           下属事业单位：负责人                  社会养老机构：负责人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40" w:hRule="atLeast"/>
          <w:jc w:val="center"/>
        </w:trPr>
        <w:tc>
          <w:tcPr>
            <w:tcW w:w="4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i w:val="0"/>
                <w:color w:val="000000"/>
                <w:sz w:val="20"/>
                <w:szCs w:val="20"/>
                <w:u w:val="none"/>
              </w:rPr>
            </w:pPr>
          </w:p>
        </w:tc>
        <w:tc>
          <w:tcPr>
            <w:tcW w:w="1737"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i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SA"/>
              </w:rPr>
              <w:t>2</w:t>
            </w:r>
          </w:p>
        </w:tc>
        <w:tc>
          <w:tcPr>
            <w:tcW w:w="816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SA"/>
              </w:rPr>
              <w:t>单位主要负责人是否亲自动员部署。</w:t>
            </w:r>
          </w:p>
        </w:tc>
        <w:tc>
          <w:tcPr>
            <w:tcW w:w="294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75" w:hRule="atLeast"/>
          <w:jc w:val="center"/>
        </w:trPr>
        <w:tc>
          <w:tcPr>
            <w:tcW w:w="4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i w:val="0"/>
                <w:color w:val="000000"/>
                <w:sz w:val="20"/>
                <w:szCs w:val="20"/>
                <w:u w:val="none"/>
              </w:rPr>
            </w:pPr>
          </w:p>
        </w:tc>
        <w:tc>
          <w:tcPr>
            <w:tcW w:w="1737"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i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SA"/>
              </w:rPr>
              <w:t>3</w:t>
            </w:r>
          </w:p>
        </w:tc>
        <w:tc>
          <w:tcPr>
            <w:tcW w:w="816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SA"/>
              </w:rPr>
              <w:t>指导30人以下的单位制定风险明白卡，明确风险危害和防范对策。</w:t>
            </w:r>
          </w:p>
        </w:tc>
        <w:tc>
          <w:tcPr>
            <w:tcW w:w="294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65" w:hRule="atLeast"/>
          <w:jc w:val="center"/>
        </w:trPr>
        <w:tc>
          <w:tcPr>
            <w:tcW w:w="4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i w:val="0"/>
                <w:color w:val="000000"/>
                <w:sz w:val="20"/>
                <w:szCs w:val="20"/>
                <w:u w:val="none"/>
              </w:rPr>
            </w:pPr>
          </w:p>
        </w:tc>
        <w:tc>
          <w:tcPr>
            <w:tcW w:w="1737"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i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SA"/>
              </w:rPr>
              <w:t>4</w:t>
            </w:r>
          </w:p>
        </w:tc>
        <w:tc>
          <w:tcPr>
            <w:tcW w:w="816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SA"/>
              </w:rPr>
              <w:t>将“两重两新”安排部署情况纳入安全监管和督查检查内容。</w:t>
            </w:r>
          </w:p>
        </w:tc>
        <w:tc>
          <w:tcPr>
            <w:tcW w:w="294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60" w:hRule="atLeast"/>
          <w:jc w:val="center"/>
        </w:trPr>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SA"/>
              </w:rPr>
              <w:t>2</w:t>
            </w:r>
          </w:p>
        </w:tc>
        <w:tc>
          <w:tcPr>
            <w:tcW w:w="173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SA"/>
              </w:rPr>
              <w:t>宣传造势——常态运用“三个工具”造氛围</w:t>
            </w:r>
          </w:p>
        </w:tc>
        <w:tc>
          <w:tcPr>
            <w:tcW w:w="7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SA"/>
              </w:rPr>
              <w:t>5</w:t>
            </w:r>
          </w:p>
        </w:tc>
        <w:tc>
          <w:tcPr>
            <w:tcW w:w="816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SA"/>
              </w:rPr>
              <w:t>各单位要常态化保持1条（幅）以上的安全标语、海报、专栏或视频，经常性开展安全宣传教育。</w:t>
            </w:r>
          </w:p>
        </w:tc>
        <w:tc>
          <w:tcPr>
            <w:tcW w:w="29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SA"/>
              </w:rPr>
              <w:t>各乡镇（街道）：分管负责人           下属事业单位：负责人                  社会养老机构：负责人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73" w:hRule="atLeast"/>
          <w:jc w:val="center"/>
        </w:trPr>
        <w:tc>
          <w:tcPr>
            <w:tcW w:w="42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SA"/>
              </w:rPr>
              <w:t>3</w:t>
            </w:r>
          </w:p>
        </w:tc>
        <w:tc>
          <w:tcPr>
            <w:tcW w:w="1737"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SA"/>
              </w:rPr>
              <w:t>责任到人——“实名监管、担子在肩”传压力</w:t>
            </w:r>
          </w:p>
        </w:tc>
        <w:tc>
          <w:tcPr>
            <w:tcW w:w="7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SA"/>
              </w:rPr>
              <w:t>6</w:t>
            </w:r>
          </w:p>
        </w:tc>
        <w:tc>
          <w:tcPr>
            <w:tcW w:w="816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SA"/>
              </w:rPr>
              <w:t>安全责任公示牌、重大风险管控公示牌、重大隐患整改公示牌“三个责任人”公示牌按规定上墙。</w:t>
            </w:r>
          </w:p>
        </w:tc>
        <w:tc>
          <w:tcPr>
            <w:tcW w:w="29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SA"/>
              </w:rPr>
              <w:t>各乡镇（街道）：分管负责人           下属事业单位：负责人                  社会养老机构：负责人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00" w:hRule="atLeast"/>
          <w:jc w:val="center"/>
        </w:trPr>
        <w:tc>
          <w:tcPr>
            <w:tcW w:w="4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i w:val="0"/>
                <w:color w:val="000000"/>
                <w:sz w:val="20"/>
                <w:szCs w:val="20"/>
                <w:u w:val="none"/>
              </w:rPr>
            </w:pPr>
          </w:p>
        </w:tc>
        <w:tc>
          <w:tcPr>
            <w:tcW w:w="1737"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i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SA"/>
              </w:rPr>
              <w:t>7</w:t>
            </w:r>
          </w:p>
        </w:tc>
        <w:tc>
          <w:tcPr>
            <w:tcW w:w="816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SA"/>
              </w:rPr>
              <w:t>部门负责人对挂牌企业开展督查，发现问题、督促整改，依法开展行政处罚。</w:t>
            </w:r>
          </w:p>
        </w:tc>
        <w:tc>
          <w:tcPr>
            <w:tcW w:w="29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SA"/>
              </w:rPr>
              <w:t xml:space="preserve"> 区民政局：陈学军</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950" w:hRule="atLeast"/>
          <w:jc w:val="center"/>
        </w:trPr>
        <w:tc>
          <w:tcPr>
            <w:tcW w:w="4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i w:val="0"/>
                <w:color w:val="000000"/>
                <w:sz w:val="20"/>
                <w:szCs w:val="20"/>
                <w:u w:val="none"/>
              </w:rPr>
            </w:pPr>
          </w:p>
        </w:tc>
        <w:tc>
          <w:tcPr>
            <w:tcW w:w="1737"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i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SA"/>
              </w:rPr>
              <w:t>8</w:t>
            </w:r>
          </w:p>
        </w:tc>
        <w:tc>
          <w:tcPr>
            <w:tcW w:w="816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SA"/>
              </w:rPr>
              <w:t>单位开展“日周月”隐患排查、风险研判，对重大风险点（源）、重大隐患实施挂牌公示，制定风险防范应急措施、明确单位内部“三个层级负责人”及管控要求、整改措施、整改时限等要素。</w:t>
            </w:r>
          </w:p>
        </w:tc>
        <w:tc>
          <w:tcPr>
            <w:tcW w:w="294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SA"/>
              </w:rPr>
              <w:t>各乡镇（街道）：主要负责人           下属事业单位：负责人                  养老机构：负责人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20" w:hRule="atLeast"/>
          <w:jc w:val="center"/>
        </w:trPr>
        <w:tc>
          <w:tcPr>
            <w:tcW w:w="4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i w:val="0"/>
                <w:color w:val="000000"/>
                <w:sz w:val="20"/>
                <w:szCs w:val="20"/>
                <w:u w:val="none"/>
              </w:rPr>
            </w:pPr>
          </w:p>
        </w:tc>
        <w:tc>
          <w:tcPr>
            <w:tcW w:w="1737"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i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SA"/>
              </w:rPr>
              <w:t>9</w:t>
            </w:r>
          </w:p>
        </w:tc>
        <w:tc>
          <w:tcPr>
            <w:tcW w:w="816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SA"/>
              </w:rPr>
              <w:t>制定推广“两单两卡”落实企业一线岗位从业人员安全生产责任工作方案，并成立专班抓落实。</w:t>
            </w:r>
          </w:p>
        </w:tc>
        <w:tc>
          <w:tcPr>
            <w:tcW w:w="294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5" w:hRule="atLeast"/>
          <w:jc w:val="center"/>
        </w:trPr>
        <w:tc>
          <w:tcPr>
            <w:tcW w:w="42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SA"/>
              </w:rPr>
              <w:t>4</w:t>
            </w:r>
          </w:p>
        </w:tc>
        <w:tc>
          <w:tcPr>
            <w:tcW w:w="1737"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SA"/>
              </w:rPr>
              <w:t>尽职尽责——三个层面“日周月”促落实</w:t>
            </w:r>
          </w:p>
        </w:tc>
        <w:tc>
          <w:tcPr>
            <w:tcW w:w="7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SA"/>
              </w:rPr>
              <w:t>10</w:t>
            </w:r>
          </w:p>
        </w:tc>
        <w:tc>
          <w:tcPr>
            <w:tcW w:w="816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SA"/>
              </w:rPr>
              <w:t>制定完善隐患排查清单，严格执行“日周月”隐患排查制度；监管人员检查工作日必须开展执法，分管负责人每周必须调度推动执法，主要负责人必须每月开展执法工作检查。</w:t>
            </w:r>
          </w:p>
        </w:tc>
        <w:tc>
          <w:tcPr>
            <w:tcW w:w="294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SA"/>
              </w:rPr>
              <w:t>区民政局：安办                         各乡镇（街道）：分管负责人                      下属事业单位：负责人                  社会养老机构：负责人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85" w:hRule="atLeast"/>
          <w:jc w:val="center"/>
        </w:trPr>
        <w:tc>
          <w:tcPr>
            <w:tcW w:w="4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i w:val="0"/>
                <w:color w:val="000000"/>
                <w:sz w:val="20"/>
                <w:szCs w:val="20"/>
                <w:u w:val="none"/>
              </w:rPr>
            </w:pPr>
          </w:p>
        </w:tc>
        <w:tc>
          <w:tcPr>
            <w:tcW w:w="1737"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i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SA"/>
              </w:rPr>
              <w:t>13</w:t>
            </w:r>
          </w:p>
        </w:tc>
        <w:tc>
          <w:tcPr>
            <w:tcW w:w="816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SA"/>
              </w:rPr>
              <w:t>务实开展全面、全员、全过程隐患排查，做到重大隐患整改的责任、措施、资金、时限、预案“五落实”；要集中力量、走出机关、深入一线，严格开展“三部曲”闭环执法。</w:t>
            </w:r>
          </w:p>
        </w:tc>
        <w:tc>
          <w:tcPr>
            <w:tcW w:w="294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00" w:hRule="atLeast"/>
          <w:jc w:val="center"/>
        </w:trPr>
        <w:tc>
          <w:tcPr>
            <w:tcW w:w="4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i w:val="0"/>
                <w:color w:val="000000"/>
                <w:sz w:val="20"/>
                <w:szCs w:val="20"/>
                <w:u w:val="none"/>
              </w:rPr>
            </w:pPr>
          </w:p>
        </w:tc>
        <w:tc>
          <w:tcPr>
            <w:tcW w:w="1737"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i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SA"/>
              </w:rPr>
              <w:t>11</w:t>
            </w:r>
          </w:p>
        </w:tc>
        <w:tc>
          <w:tcPr>
            <w:tcW w:w="816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SA"/>
              </w:rPr>
              <w:t>强化监督检查。要督查检查，必须核查“日周月”开展情况。</w:t>
            </w:r>
          </w:p>
        </w:tc>
        <w:tc>
          <w:tcPr>
            <w:tcW w:w="294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90" w:hRule="atLeast"/>
          <w:jc w:val="center"/>
        </w:trPr>
        <w:tc>
          <w:tcPr>
            <w:tcW w:w="42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SA"/>
              </w:rPr>
              <w:t>5</w:t>
            </w:r>
          </w:p>
        </w:tc>
        <w:tc>
          <w:tcPr>
            <w:tcW w:w="1737"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SA"/>
              </w:rPr>
              <w:t>督查警示——“四个抓手、追责问责”见实效</w:t>
            </w:r>
          </w:p>
        </w:tc>
        <w:tc>
          <w:tcPr>
            <w:tcW w:w="7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SA"/>
              </w:rPr>
              <w:t>12</w:t>
            </w:r>
          </w:p>
        </w:tc>
        <w:tc>
          <w:tcPr>
            <w:tcW w:w="816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SA"/>
              </w:rPr>
              <w:t>每月开展安全督导，走出机关、深入基层、协调检查、严格执法。</w:t>
            </w:r>
          </w:p>
        </w:tc>
        <w:tc>
          <w:tcPr>
            <w:tcW w:w="294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SA"/>
              </w:rPr>
              <w:t>区民政局：安办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00" w:hRule="atLeast"/>
          <w:jc w:val="center"/>
        </w:trPr>
        <w:tc>
          <w:tcPr>
            <w:tcW w:w="4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i w:val="0"/>
                <w:color w:val="000000"/>
                <w:sz w:val="20"/>
                <w:szCs w:val="20"/>
                <w:u w:val="none"/>
              </w:rPr>
            </w:pPr>
          </w:p>
        </w:tc>
        <w:tc>
          <w:tcPr>
            <w:tcW w:w="1737"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i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SA"/>
              </w:rPr>
              <w:t>13</w:t>
            </w:r>
          </w:p>
        </w:tc>
        <w:tc>
          <w:tcPr>
            <w:tcW w:w="816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SA"/>
              </w:rPr>
              <w:t>常态化开展“四不两直”明查暗访；对明查暗访发现的重大隐患和突出问题，在区政府常务会、安全例会及媒体上曝光。对事故多发频发、发生较大事故或重大险情、责任落实不力的，予以督办、通报批评或警示约谈。</w:t>
            </w:r>
          </w:p>
        </w:tc>
        <w:tc>
          <w:tcPr>
            <w:tcW w:w="294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00" w:hRule="atLeast"/>
          <w:jc w:val="center"/>
        </w:trPr>
        <w:tc>
          <w:tcPr>
            <w:tcW w:w="42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SA"/>
              </w:rPr>
              <w:t>6</w:t>
            </w:r>
          </w:p>
        </w:tc>
        <w:tc>
          <w:tcPr>
            <w:tcW w:w="1737"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SA"/>
              </w:rPr>
              <w:t>严格执法——“四个要求、从严从重”强作风</w:t>
            </w:r>
          </w:p>
        </w:tc>
        <w:tc>
          <w:tcPr>
            <w:tcW w:w="7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SA"/>
              </w:rPr>
              <w:t>14</w:t>
            </w:r>
          </w:p>
        </w:tc>
        <w:tc>
          <w:tcPr>
            <w:tcW w:w="816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SA"/>
              </w:rPr>
              <w:t>必须做到执法“清零”，必须持续提升执法检查强度、问题查找强度和执法处罚强度。</w:t>
            </w:r>
          </w:p>
        </w:tc>
        <w:tc>
          <w:tcPr>
            <w:tcW w:w="29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SA"/>
              </w:rPr>
              <w:t>区民政局：安办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590" w:hRule="atLeast"/>
          <w:jc w:val="center"/>
        </w:trPr>
        <w:tc>
          <w:tcPr>
            <w:tcW w:w="42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SA"/>
              </w:rPr>
              <w:t>7</w:t>
            </w:r>
          </w:p>
        </w:tc>
        <w:tc>
          <w:tcPr>
            <w:tcW w:w="1737"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SA"/>
              </w:rPr>
              <w:t>群众举报——“全面发动、全员参与”广监督</w:t>
            </w:r>
          </w:p>
        </w:tc>
        <w:tc>
          <w:tcPr>
            <w:tcW w:w="7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SA"/>
              </w:rPr>
              <w:t>15</w:t>
            </w:r>
          </w:p>
        </w:tc>
        <w:tc>
          <w:tcPr>
            <w:tcW w:w="816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SA"/>
              </w:rPr>
              <w:t>建立完善安全生产有奖举报办法。</w:t>
            </w:r>
          </w:p>
        </w:tc>
        <w:tc>
          <w:tcPr>
            <w:tcW w:w="294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SA"/>
              </w:rPr>
              <w:t>区民政局：安办                         各乡镇（街道）：分管负责人                      下属事业单位：负责人                  社会养老机构：负责人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434" w:hRule="atLeast"/>
          <w:jc w:val="center"/>
        </w:trPr>
        <w:tc>
          <w:tcPr>
            <w:tcW w:w="4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i w:val="0"/>
                <w:color w:val="000000"/>
                <w:sz w:val="20"/>
                <w:szCs w:val="20"/>
                <w:u w:val="none"/>
              </w:rPr>
            </w:pPr>
          </w:p>
        </w:tc>
        <w:tc>
          <w:tcPr>
            <w:tcW w:w="1737"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i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SA"/>
              </w:rPr>
              <w:t>16</w:t>
            </w:r>
          </w:p>
        </w:tc>
        <w:tc>
          <w:tcPr>
            <w:tcW w:w="816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SA"/>
              </w:rPr>
              <w:t>多渠道多形式宣传举报方式、举报内容、奖励办法，发动群众广泛举报、积极举报。</w:t>
            </w:r>
          </w:p>
        </w:tc>
        <w:tc>
          <w:tcPr>
            <w:tcW w:w="294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05" w:hRule="atLeast"/>
          <w:jc w:val="center"/>
        </w:trPr>
        <w:tc>
          <w:tcPr>
            <w:tcW w:w="42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SA"/>
              </w:rPr>
              <w:t>8</w:t>
            </w:r>
          </w:p>
        </w:tc>
        <w:tc>
          <w:tcPr>
            <w:tcW w:w="1737"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SA"/>
              </w:rPr>
              <w:t>诚信管理——“三个挂钩、激励约束”建导向</w:t>
            </w:r>
          </w:p>
        </w:tc>
        <w:tc>
          <w:tcPr>
            <w:tcW w:w="7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SA"/>
              </w:rPr>
              <w:t>17</w:t>
            </w:r>
          </w:p>
        </w:tc>
        <w:tc>
          <w:tcPr>
            <w:tcW w:w="816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SA"/>
              </w:rPr>
              <w:t>严格执行安全生产诚信管理办法，建立安全生产诚信评价和不良信用记录制度，实施联合惩戒。</w:t>
            </w:r>
          </w:p>
        </w:tc>
        <w:tc>
          <w:tcPr>
            <w:tcW w:w="294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SA"/>
              </w:rPr>
              <w:t xml:space="preserve"> 区民政局：安办</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665" w:hRule="atLeast"/>
          <w:jc w:val="center"/>
        </w:trPr>
        <w:tc>
          <w:tcPr>
            <w:tcW w:w="4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i w:val="0"/>
                <w:color w:val="000000"/>
                <w:sz w:val="20"/>
                <w:szCs w:val="20"/>
                <w:u w:val="none"/>
              </w:rPr>
            </w:pPr>
          </w:p>
        </w:tc>
        <w:tc>
          <w:tcPr>
            <w:tcW w:w="1737"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i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SA"/>
              </w:rPr>
              <w:t>18</w:t>
            </w:r>
          </w:p>
        </w:tc>
        <w:tc>
          <w:tcPr>
            <w:tcW w:w="816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SA"/>
              </w:rPr>
              <w:t>建立完善诚信管理制度，与安全生产诚信管理办法有效衔接，构建“三个挂钩”（与经济效益挂钩、与行政许可挂钩、与企业信誉挂钩）激励约束机制</w:t>
            </w:r>
          </w:p>
        </w:tc>
        <w:tc>
          <w:tcPr>
            <w:tcW w:w="294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839" w:hRule="atLeast"/>
          <w:jc w:val="center"/>
        </w:trPr>
        <w:tc>
          <w:tcPr>
            <w:tcW w:w="42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SA"/>
              </w:rPr>
              <w:t>9</w:t>
            </w:r>
          </w:p>
        </w:tc>
        <w:tc>
          <w:tcPr>
            <w:tcW w:w="1737" w:type="dxa"/>
            <w:gridSpan w:val="2"/>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SA"/>
              </w:rPr>
              <w:t>节点值守——“三在责任、应急响应”严防控</w:t>
            </w:r>
          </w:p>
        </w:tc>
        <w:tc>
          <w:tcPr>
            <w:tcW w:w="7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SA"/>
              </w:rPr>
              <w:t>19</w:t>
            </w:r>
          </w:p>
        </w:tc>
        <w:tc>
          <w:tcPr>
            <w:tcW w:w="816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SA"/>
              </w:rPr>
              <w:t>重大节假日、高温汛期、大雾冰雪或暴雨天气、企业开复工等重要节点和重要时段，坚守岗位、尽职尽责，做到监管人员在现场。</w:t>
            </w:r>
          </w:p>
        </w:tc>
        <w:tc>
          <w:tcPr>
            <w:tcW w:w="294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SA"/>
              </w:rPr>
              <w:t xml:space="preserve">   区民政局：安办                         各乡镇（街道）：分管负责人           下属事业单位：负责人                   社会养老机构：负责人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85" w:hRule="atLeast"/>
          <w:jc w:val="center"/>
        </w:trPr>
        <w:tc>
          <w:tcPr>
            <w:tcW w:w="4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i w:val="0"/>
                <w:color w:val="000000"/>
                <w:sz w:val="20"/>
                <w:szCs w:val="20"/>
                <w:u w:val="none"/>
              </w:rPr>
            </w:pPr>
          </w:p>
        </w:tc>
        <w:tc>
          <w:tcPr>
            <w:tcW w:w="1737"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i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SA"/>
              </w:rPr>
              <w:t>20</w:t>
            </w:r>
          </w:p>
        </w:tc>
        <w:tc>
          <w:tcPr>
            <w:tcW w:w="816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SA"/>
              </w:rPr>
              <w:t>落实领导干部值班值守、关键岗位24小时值班制度和信息报告制度，保证通信畅通，发生事故灾害或遇有重要紧急情况，及时报告并开展先期处置。</w:t>
            </w:r>
          </w:p>
        </w:tc>
        <w:tc>
          <w:tcPr>
            <w:tcW w:w="2940" w:type="dxa"/>
            <w:vMerge w:val="restart"/>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SA"/>
              </w:rPr>
              <w:t>区民政局：安办                         各乡镇（街道）：分管负责人                      下属事业单位：负责人                  社会养老机构：负责人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40" w:hRule="atLeast"/>
          <w:jc w:val="center"/>
        </w:trPr>
        <w:tc>
          <w:tcPr>
            <w:tcW w:w="4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i w:val="0"/>
                <w:color w:val="000000"/>
                <w:sz w:val="20"/>
                <w:szCs w:val="20"/>
                <w:u w:val="none"/>
              </w:rPr>
            </w:pPr>
          </w:p>
        </w:tc>
        <w:tc>
          <w:tcPr>
            <w:tcW w:w="1737"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i w:val="0"/>
                <w:color w:val="000000"/>
                <w:sz w:val="20"/>
                <w:szCs w:val="20"/>
                <w:u w:val="none"/>
              </w:rPr>
            </w:pPr>
          </w:p>
        </w:tc>
        <w:tc>
          <w:tcPr>
            <w:tcW w:w="750"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SA"/>
              </w:rPr>
              <w:t>21</w:t>
            </w:r>
          </w:p>
        </w:tc>
        <w:tc>
          <w:tcPr>
            <w:tcW w:w="8160" w:type="dxa"/>
            <w:gridSpan w:val="2"/>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SA"/>
              </w:rPr>
              <w:t>做到精准预警、及时响应，领导干部身先士卒、靠前指挥；队伍靠前布防，超前配置装备，及时果断避险，有力有效救援。</w:t>
            </w:r>
          </w:p>
        </w:tc>
        <w:tc>
          <w:tcPr>
            <w:tcW w:w="294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default" w:ascii="Times New Roman" w:hAnsi="Times New Roman" w:eastAsia="方正仿宋_GBK" w:cs="Times New Roman"/>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1020" w:hRule="atLeast"/>
          <w:jc w:val="center"/>
        </w:trPr>
        <w:tc>
          <w:tcPr>
            <w:tcW w:w="42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SA"/>
              </w:rPr>
              <w:t>10</w:t>
            </w:r>
          </w:p>
        </w:tc>
        <w:tc>
          <w:tcPr>
            <w:tcW w:w="1737" w:type="dxa"/>
            <w:gridSpan w:val="2"/>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SA"/>
              </w:rPr>
              <w:t>专家服务——“落实三建、优化服务”治难题</w:t>
            </w:r>
          </w:p>
        </w:tc>
        <w:tc>
          <w:tcPr>
            <w:tcW w:w="75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SA"/>
              </w:rPr>
              <w:t>22</w:t>
            </w:r>
          </w:p>
        </w:tc>
        <w:tc>
          <w:tcPr>
            <w:tcW w:w="8160" w:type="dxa"/>
            <w:gridSpan w:val="2"/>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left"/>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SA"/>
              </w:rPr>
              <w:t>建立常态化服务机制，定期开展“进企业、到车间、查隐患、促整改”专家服务。建立重点时段保障机制，在重要节点和特殊敏感时期，必须聘请、组织专家深入一线开展重点检查。</w:t>
            </w:r>
          </w:p>
        </w:tc>
        <w:tc>
          <w:tcPr>
            <w:tcW w:w="2940" w:type="dxa"/>
            <w:vMerge w:val="restart"/>
            <w:tcBorders>
              <w:top w:val="single" w:color="000000" w:sz="4" w:space="0"/>
              <w:left w:val="single" w:color="000000" w:sz="4" w:space="0"/>
              <w:bottom w:val="single" w:color="000000" w:sz="4" w:space="0"/>
              <w:right w:val="single" w:color="000000" w:sz="4" w:space="0"/>
            </w:tcBorders>
            <w:vAlign w:val="center"/>
          </w:tcPr>
          <w:p>
            <w:pPr>
              <w:keepNext w:val="0"/>
              <w:keepLines w:val="0"/>
              <w:pageBreakBefore w:val="0"/>
              <w:widowControl/>
              <w:kinsoku/>
              <w:wordWrap/>
              <w:overflowPunct/>
              <w:topLinePunct w:val="0"/>
              <w:autoSpaceDE/>
              <w:autoSpaceDN/>
              <w:bidi w:val="0"/>
              <w:adjustRightInd/>
              <w:snapToGrid/>
              <w:spacing w:line="280" w:lineRule="exact"/>
              <w:jc w:val="center"/>
              <w:textAlignment w:val="center"/>
              <w:rPr>
                <w:rFonts w:hint="default" w:ascii="Times New Roman" w:hAnsi="Times New Roman" w:eastAsia="方正仿宋_GBK" w:cs="Times New Roman"/>
                <w:i w:val="0"/>
                <w:color w:val="000000"/>
                <w:sz w:val="20"/>
                <w:szCs w:val="20"/>
                <w:u w:val="none"/>
              </w:rPr>
            </w:pPr>
            <w:r>
              <w:rPr>
                <w:rFonts w:hint="default" w:ascii="Times New Roman" w:hAnsi="Times New Roman" w:eastAsia="方正仿宋_GBK" w:cs="Times New Roman"/>
                <w:i w:val="0"/>
                <w:color w:val="000000"/>
                <w:kern w:val="0"/>
                <w:sz w:val="20"/>
                <w:szCs w:val="20"/>
                <w:u w:val="none"/>
                <w:lang w:val="en-US" w:eastAsia="zh-CN" w:bidi="ar-SA"/>
              </w:rPr>
              <w:t>区民政局：安办                         各乡镇（街道）：分管负责人                      下属事业单位：负责人                  社会养老机构：负责人</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35" w:hRule="atLeast"/>
          <w:jc w:val="center"/>
        </w:trPr>
        <w:tc>
          <w:tcPr>
            <w:tcW w:w="4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方正仿宋_GBK" w:hAnsi="方正仿宋_GBK" w:eastAsia="方正仿宋_GBK" w:cs="方正仿宋_GBK"/>
                <w:i w:val="0"/>
                <w:color w:val="000000"/>
                <w:sz w:val="20"/>
                <w:szCs w:val="20"/>
                <w:u w:val="none"/>
              </w:rPr>
            </w:pPr>
          </w:p>
        </w:tc>
        <w:tc>
          <w:tcPr>
            <w:tcW w:w="1737"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方正仿宋_GBK" w:hAnsi="方正仿宋_GBK" w:eastAsia="方正仿宋_GBK" w:cs="方正仿宋_GBK"/>
                <w:i w:val="0"/>
                <w:color w:val="000000"/>
                <w:sz w:val="20"/>
                <w:szCs w:val="20"/>
                <w:u w:val="none"/>
              </w:rPr>
            </w:pPr>
          </w:p>
        </w:tc>
        <w:tc>
          <w:tcPr>
            <w:tcW w:w="75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方正仿宋_GBK" w:hAnsi="方正仿宋_GBK" w:eastAsia="方正仿宋_GBK" w:cs="方正仿宋_GBK"/>
                <w:i w:val="0"/>
                <w:color w:val="000000"/>
                <w:sz w:val="20"/>
                <w:szCs w:val="20"/>
                <w:u w:val="none"/>
              </w:rPr>
            </w:pPr>
          </w:p>
        </w:tc>
        <w:tc>
          <w:tcPr>
            <w:tcW w:w="8160"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方正仿宋_GBK" w:hAnsi="方正仿宋_GBK" w:eastAsia="方正仿宋_GBK" w:cs="方正仿宋_GBK"/>
                <w:i w:val="0"/>
                <w:color w:val="000000"/>
                <w:sz w:val="20"/>
                <w:szCs w:val="20"/>
                <w:u w:val="none"/>
              </w:rPr>
            </w:pPr>
          </w:p>
        </w:tc>
        <w:tc>
          <w:tcPr>
            <w:tcW w:w="294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方正仿宋_GBK" w:hAnsi="方正仿宋_GBK" w:eastAsia="方正仿宋_GBK" w:cs="方正仿宋_GBK"/>
                <w:i w:val="0"/>
                <w:color w:val="000000"/>
                <w:sz w:val="20"/>
                <w:szCs w:val="20"/>
                <w:u w:val="none"/>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312" w:hRule="atLeast"/>
          <w:jc w:val="center"/>
        </w:trPr>
        <w:tc>
          <w:tcPr>
            <w:tcW w:w="42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方正仿宋_GBK" w:hAnsi="方正仿宋_GBK" w:eastAsia="方正仿宋_GBK" w:cs="方正仿宋_GBK"/>
                <w:i w:val="0"/>
                <w:color w:val="000000"/>
                <w:sz w:val="20"/>
                <w:szCs w:val="20"/>
                <w:u w:val="none"/>
              </w:rPr>
            </w:pPr>
          </w:p>
        </w:tc>
        <w:tc>
          <w:tcPr>
            <w:tcW w:w="1737"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方正仿宋_GBK" w:hAnsi="方正仿宋_GBK" w:eastAsia="方正仿宋_GBK" w:cs="方正仿宋_GBK"/>
                <w:i w:val="0"/>
                <w:color w:val="000000"/>
                <w:sz w:val="20"/>
                <w:szCs w:val="20"/>
                <w:u w:val="none"/>
              </w:rPr>
            </w:pPr>
          </w:p>
        </w:tc>
        <w:tc>
          <w:tcPr>
            <w:tcW w:w="75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方正仿宋_GBK" w:hAnsi="方正仿宋_GBK" w:eastAsia="方正仿宋_GBK" w:cs="方正仿宋_GBK"/>
                <w:i w:val="0"/>
                <w:color w:val="000000"/>
                <w:sz w:val="20"/>
                <w:szCs w:val="20"/>
                <w:u w:val="none"/>
              </w:rPr>
            </w:pPr>
          </w:p>
        </w:tc>
        <w:tc>
          <w:tcPr>
            <w:tcW w:w="8160" w:type="dxa"/>
            <w:gridSpan w:val="2"/>
            <w:vMerge w:val="continue"/>
            <w:tcBorders>
              <w:top w:val="single" w:color="000000" w:sz="4" w:space="0"/>
              <w:left w:val="single" w:color="000000" w:sz="4" w:space="0"/>
              <w:bottom w:val="single" w:color="000000" w:sz="4" w:space="0"/>
              <w:right w:val="single" w:color="000000" w:sz="4" w:space="0"/>
            </w:tcBorders>
            <w:vAlign w:val="center"/>
          </w:tcPr>
          <w:p>
            <w:pPr>
              <w:jc w:val="left"/>
              <w:rPr>
                <w:rFonts w:hint="eastAsia" w:ascii="方正仿宋_GBK" w:hAnsi="方正仿宋_GBK" w:eastAsia="方正仿宋_GBK" w:cs="方正仿宋_GBK"/>
                <w:i w:val="0"/>
                <w:color w:val="000000"/>
                <w:sz w:val="20"/>
                <w:szCs w:val="20"/>
                <w:u w:val="none"/>
              </w:rPr>
            </w:pPr>
          </w:p>
        </w:tc>
        <w:tc>
          <w:tcPr>
            <w:tcW w:w="2940" w:type="dxa"/>
            <w:vMerge w:val="continue"/>
            <w:tcBorders>
              <w:top w:val="single" w:color="000000" w:sz="4" w:space="0"/>
              <w:left w:val="single" w:color="000000" w:sz="4" w:space="0"/>
              <w:bottom w:val="single" w:color="000000" w:sz="4" w:space="0"/>
              <w:right w:val="single" w:color="000000" w:sz="4" w:space="0"/>
            </w:tcBorders>
            <w:vAlign w:val="center"/>
          </w:tcPr>
          <w:p>
            <w:pPr>
              <w:jc w:val="center"/>
              <w:rPr>
                <w:rFonts w:hint="eastAsia" w:ascii="方正仿宋_GBK" w:hAnsi="方正仿宋_GBK" w:eastAsia="方正仿宋_GBK" w:cs="方正仿宋_GBK"/>
                <w:i w:val="0"/>
                <w:color w:val="000000"/>
                <w:sz w:val="20"/>
                <w:szCs w:val="20"/>
                <w:u w:val="none"/>
              </w:rPr>
            </w:pPr>
          </w:p>
        </w:tc>
      </w:tr>
    </w:tbl>
    <w:p>
      <w:pPr>
        <w:keepNext w:val="0"/>
        <w:keepLines w:val="0"/>
        <w:pageBreakBefore w:val="0"/>
        <w:tabs>
          <w:tab w:val="left" w:pos="3735"/>
        </w:tabs>
        <w:kinsoku/>
        <w:overflowPunct/>
        <w:topLinePunct w:val="0"/>
        <w:bidi w:val="0"/>
        <w:spacing w:line="600" w:lineRule="atLeast"/>
        <w:ind w:left="0" w:leftChars="0" w:right="0" w:rightChars="0"/>
        <w:jc w:val="left"/>
        <w:textAlignment w:val="auto"/>
        <w:rPr>
          <w:rFonts w:hint="eastAsia" w:ascii="Times New Roman" w:hAnsi="Times New Roman" w:eastAsia="方正仿宋_GBK" w:cstheme="minorBidi"/>
          <w:kern w:val="0"/>
          <w:sz w:val="32"/>
          <w:szCs w:val="32"/>
          <w:shd w:val="clear" w:color="auto" w:fill="FFFFFF"/>
          <w:lang w:eastAsia="zh-CN" w:bidi="ar-SA"/>
        </w:rPr>
      </w:pPr>
    </w:p>
    <w:sectPr>
      <w:headerReference r:id="rId5" w:type="default"/>
      <w:footerReference r:id="rId6" w:type="default"/>
      <w:pgSz w:w="16838" w:h="11906" w:orient="landscape"/>
      <w:pgMar w:top="1962" w:right="1474" w:bottom="1848" w:left="1587" w:header="851" w:footer="992"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Helvetica">
    <w:altName w:val="Arial"/>
    <w:panose1 w:val="020B0604020202020204"/>
    <w:charset w:val="00"/>
    <w:family w:val="swiss"/>
    <w:pitch w:val="default"/>
    <w:sig w:usb0="00000000" w:usb1="00000000" w:usb2="00000000" w:usb3="00000000" w:csb0="00000001" w:csb1="00000000"/>
  </w:font>
  <w:font w:name="方正仿宋_GBK">
    <w:panose1 w:val="03000509000000000000"/>
    <w:charset w:val="86"/>
    <w:family w:val="auto"/>
    <w:pitch w:val="default"/>
    <w:sig w:usb0="00000001" w:usb1="080E0000" w:usb2="00000000" w:usb3="00000000" w:csb0="00040000" w:csb1="00000000"/>
  </w:font>
  <w:font w:name="方正小标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7"/>
      <w:wordWrap w:val="0"/>
      <w:ind w:left="1067" w:leftChars="508" w:firstLine="10115" w:firstLineChars="3161"/>
      <w:jc w:val="right"/>
      <w:rPr>
        <w:rFonts w:hint="eastAsia" w:ascii="宋体" w:hAnsi="宋体" w:eastAsia="宋体" w:cs="宋体"/>
        <w:b/>
        <w:bCs/>
        <w:color w:val="005192"/>
        <w:sz w:val="28"/>
        <w:szCs w:val="44"/>
        <w:lang w:val="en-US" w:eastAsia="zh-CN"/>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r>
      <w:rPr>
        <w:rFonts w:hint="eastAsia"/>
        <w:color w:val="FAFAFA"/>
        <w:sz w:val="32"/>
        <w:lang w:val="en-US" w:eastAsia="zh-CN"/>
      </w:rPr>
      <w:t xml:space="preserve"> </w:t>
    </w:r>
    <w:r>
      <w:rPr>
        <w:rFonts w:hint="eastAsia" w:ascii="宋体" w:hAnsi="宋体" w:eastAsia="宋体" w:cs="宋体"/>
        <w:b/>
        <w:bCs/>
        <w:color w:val="005192"/>
        <w:sz w:val="28"/>
        <w:szCs w:val="44"/>
        <w:lang w:eastAsia="zh-CN"/>
      </w:rPr>
      <w:t>重庆市南川区民政局</w:t>
    </w:r>
    <w:r>
      <w:rPr>
        <w:rFonts w:hint="eastAsia" w:ascii="宋体" w:hAnsi="宋体" w:eastAsia="宋体" w:cs="宋体"/>
        <w:b/>
        <w:bCs/>
        <w:color w:val="005192"/>
        <w:sz w:val="28"/>
        <w:szCs w:val="44"/>
        <w:lang w:val="en-US" w:eastAsia="zh-CN"/>
      </w:rPr>
      <w:t xml:space="preserve">发布     </w:t>
    </w:r>
  </w:p>
  <w:p>
    <w:pPr>
      <w:pStyle w:val="7"/>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ind w:left="4788" w:leftChars="2280" w:firstLine="6400" w:firstLineChars="2000"/>
      <w:rPr>
        <w:sz w:val="32"/>
      </w:rPr>
    </w:pPr>
    <w:r>
      <w:rPr>
        <w:sz w:val="32"/>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6"/>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7"/>
      <w:ind w:left="4788" w:leftChars="2280" w:firstLine="6400" w:firstLineChars="2000"/>
      <w:rPr>
        <w:sz w:val="32"/>
      </w:rPr>
    </w:pPr>
    <w:r>
      <w:rPr>
        <w:color w:val="FAFAFA"/>
        <w:sz w:val="32"/>
      </w:rPr>
      <mc:AlternateContent>
        <mc:Choice Requires="wps">
          <w:drawing>
            <wp:anchor distT="0" distB="0" distL="114300" distR="114300" simplePos="0" relativeHeight="251663360" behindDoc="0" locked="0" layoutInCell="1" allowOverlap="1">
              <wp:simplePos x="0" y="0"/>
              <wp:positionH relativeFrom="column">
                <wp:posOffset>-19050</wp:posOffset>
              </wp:positionH>
              <wp:positionV relativeFrom="paragraph">
                <wp:posOffset>140335</wp:posOffset>
              </wp:positionV>
              <wp:extent cx="8288020" cy="0"/>
              <wp:effectExtent l="0" t="0" r="0" b="0"/>
              <wp:wrapNone/>
              <wp:docPr id="11" name="直接连接符 11"/>
              <wp:cNvGraphicFramePr/>
              <a:graphic xmlns:a="http://schemas.openxmlformats.org/drawingml/2006/main">
                <a:graphicData uri="http://schemas.microsoft.com/office/word/2010/wordprocessingShape">
                  <wps:wsp>
                    <wps:cNvCnPr/>
                    <wps:spPr>
                      <a:xfrm>
                        <a:off x="0" y="0"/>
                        <a:ext cx="828802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5pt;margin-top:11.05pt;height:0pt;width:652.6pt;z-index:251663360;mso-width-relative:page;mso-height-relative:page;" filled="f" stroked="t" coordsize="21600,21600" o:gfxdata="UEsDBAoAAAAAAIdO4kAAAAAAAAAAAAAAAAAEAAAAZHJzL1BLAwQUAAAACACHTuJAtyYMd9QAAAAJ&#10;AQAADwAAAGRycy9kb3ducmV2LnhtbE2PzU7DMBCE70i8g7WVuLV2HAmhEKdSI3ECDrRwd+NtHNV/&#10;st2kvD2uOMBxdlYz37TbqzVkxpgm7wRUGwYE3eDV5EYBn4eX9ROQlKVT0niHAr4xwba7v2tlo/zi&#10;PnDe55GUEJcaKUDnHBpK06DRyrTxAV3xTj5amYuMI1VRLiXcGsoZe6RWTq40aBmw1zic9xcroH8N&#10;vNfvhyXyXXob59qE0/lLiIdVxZ6BZLzmv2e44Rd06ArT0V+cSsQIWNdlShbAeQXk5teMcyDH3wvt&#10;Wvp/QfcDUEsDBBQAAAAIAIdO4kD1FMN/5gEAALQDAAAOAAAAZHJzL2Uyb0RvYy54bWytU82O0zAQ&#10;viPxDpbvNGmkRSVquoetlguCSsADuI6TWPKfZrxN+xK8ABI3OHHkztuwPMaOnWwXlsseyMEZz883&#10;/j6P15dHa9hBAWrvGr5clJwpJ32rXd/wjx+uX6w4wyhcK4x3quEnhfxy8/zZegy1qvzgTauAEYjD&#10;egwNH2IMdVGgHJQVuPBBOQp2HqyItIW+aEGMhG5NUZXly2L00AbwUiGSdzsF+YwITwH0Xael2np5&#10;Y5WLEyooIyJRwkEH5Jt82q5TMr7rOlSRmYYT05hXakL2Pq3FZi3qHkQYtJyPIJ5yhEecrNCOmp6h&#10;tiIKdgP6HyirJXj0XVxIb4uJSFaEWCzLR9q8H0RQmQtJjeEsOv4/WPn2sAOmW5qEJWdOWLrx288/&#10;fn36+vvnF1pvv39jFCGZxoA1ZV+5Hcw7DDtInI8d2PQnNuyYpT2dpVXHyCQ5V9VqVVakuryPFQ+F&#10;ATC+Vt6yZDTcaJdYi1oc3mCkZpR6n5Lczl9rY/LNGcfGhlf0XRC0oHHsaAzItIEooes5E6anOZcR&#10;MiR6o9tUnoAQ+v2VAXYQaTrKi+WrKjGldn+lpd5bgcOUl0PT3Fgd6SkYbYlfmb652jgCSXpNCiVr&#10;79tTFi776TJzm3nw0rT8uc/VD49tcw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3Jgx31AAAAAkB&#10;AAAPAAAAAAAAAAEAIAAAACIAAABkcnMvZG93bnJldi54bWxQSwECFAAUAAAACACHTuJA9RTDf+YB&#10;AAC0AwAADgAAAAAAAAABACAAAAAjAQAAZHJzL2Uyb0RvYy54bWxQSwUGAAAAAAYABgBZAQAAewUA&#10;AAAA&#10;">
              <v:fill on="f" focussize="0,0"/>
              <v:stroke weight="1.75pt" color="#005192 [3204]" miterlimit="8" joinstyle="miter"/>
              <v:imagedata o:title=""/>
              <o:lock v:ext="edit" aspectratio="f"/>
            </v:line>
          </w:pict>
        </mc:Fallback>
      </mc:AlternateContent>
    </w:r>
  </w:p>
  <w:p>
    <w:pPr>
      <w:pStyle w:val="7"/>
      <w:wordWrap w:val="0"/>
      <w:jc w:val="right"/>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val="en-US" w:eastAsia="zh-CN"/>
      </w:rPr>
      <w:t>重庆市南川区民政局发布</w:t>
    </w:r>
    <w:r>
      <w:rPr>
        <w:rFonts w:hint="default" w:ascii="宋体" w:hAnsi="宋体" w:eastAsia="宋体" w:cs="宋体"/>
        <w:b/>
        <w:bCs/>
        <w:color w:val="005192"/>
        <w:sz w:val="28"/>
        <w:szCs w:val="44"/>
        <w:lang w:eastAsia="zh-CN"/>
      </w:rPr>
      <w:t xml:space="preserve">     </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重庆市南川区民政局</w:t>
    </w:r>
    <w:r>
      <w:rPr>
        <w:rFonts w:hint="eastAsia" w:ascii="宋体" w:hAnsi="宋体" w:eastAsia="宋体" w:cs="宋体"/>
        <w:b/>
        <w:bCs/>
        <w:color w:val="005192"/>
        <w:sz w:val="32"/>
        <w:szCs w:val="32"/>
        <w:lang w:val="en-US" w:eastAsia="zh-Hans"/>
      </w:rPr>
      <w:t>规范性文件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-2540</wp:posOffset>
              </wp:positionH>
              <wp:positionV relativeFrom="paragraph">
                <wp:posOffset>462280</wp:posOffset>
              </wp:positionV>
              <wp:extent cx="8269605" cy="0"/>
              <wp:effectExtent l="0" t="0" r="0" b="0"/>
              <wp:wrapNone/>
              <wp:docPr id="2" name="直接连接符 2"/>
              <wp:cNvGraphicFramePr/>
              <a:graphic xmlns:a="http://schemas.openxmlformats.org/drawingml/2006/main">
                <a:graphicData uri="http://schemas.microsoft.com/office/word/2010/wordprocessingShape">
                  <wps:wsp>
                    <wps:cNvCnPr/>
                    <wps:spPr>
                      <a:xfrm>
                        <a:off x="4133850" y="864870"/>
                        <a:ext cx="826960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2pt;margin-top:36.4pt;height:0pt;width:651.15pt;z-index:251662336;mso-width-relative:page;mso-height-relative:page;" filled="f" stroked="t" coordsize="21600,21600" o:gfxdata="UEsDBAoAAAAAAIdO4kAAAAAAAAAAAAAAAAAEAAAAZHJzL1BLAwQUAAAACACHTuJAYvligdUAAAAI&#10;AQAADwAAAGRycy9kb3ducmV2LnhtbE2PzU7DMBCE70i8g7VI3Fo7KeInxKlEJE7AgRbubryNo9rr&#10;yHaT8va44kCPOzOa/aZen5xlE4Y4eJJQLAUwpM7rgXoJX9vXxSOwmBRpZT2hhB+MsG6ur2pVaT/T&#10;J06b1LNcQrFSEkxKY8V57Aw6FZd+RMre3genUj5Dz3VQcy53lpdC3HOnBsofjBqxNdgdNkcnoX0b&#10;y9Z8bOdQvsT3flrZcX/4lvL2phDPwBKe0n8YzvgZHZrMtPNH0pFZCYu7HJTwUOYBZ3sliidguz+F&#10;NzW/HND8AlBLAwQUAAAACACHTuJA47AR7PMBAAC9AwAADgAAAGRycy9lMm9Eb2MueG1srVPNbhMx&#10;EL4j8Q6W72Q32yakq2x6aFQuCCIBD+B47V1L/pPHzSYvwQsgcYMTR+68TctjMPYuLZRLD/hgj2fG&#10;3/j7PF5fHo0mBxFAOdvQ+aykRFjuWmW7hn54f/1iRQlEZlumnRUNPQmgl5vnz9aDr0XleqdbEQiC&#10;WKgH39A+Rl8XBfBeGAYz54XFoHTBsIjb0BVtYAOiG11UZbksBhdaHxwXAOjdjkE6IYanADopFRdb&#10;x2+MsHFEDUKziJSgVx7oJt9WSsHjWylBRKIbikxjnrEI2vs0F5s1q7vAfK/4dAX2lCs84mSYslj0&#10;HmrLIiM3Qf0DZRQPDpyMM+5MMRLJiiCLeflIm3c98yJzQanB34sO/w+WvznsAlFtQytKLDP44Hef&#10;vt9+/PLzx2ec7759JVUSafBQY+6V3YVpB34XEuOjDCatyIUcG3o+PztbLVDeU0NXy/PVy0ljcYyE&#10;Y3xVLS+W5YISjgk5Vjxg+ADxlXCGJKOhWtlEn9Xs8Boi1sXU3ynJbd210jo/obZkQA44EjTDvpTY&#10;D2gaj9zAdpQw3WHD8xgyJDit2nQ8AUHo9lc6kANLbVIu5heZNJb7Ky3V3jLox7wcGhvIqIh/QiuD&#10;/Mo0khtPa4tLkm4UK1l7156yhtmPr5oTpw5MbfPnPp9++HWb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GL5YoHVAAAACAEAAA8AAAAAAAAAAQAgAAAAIgAAAGRycy9kb3ducmV2LnhtbFBLAQIUABQA&#10;AAAIAIdO4kDjsBHs8wEAAL0DAAAOAAAAAAAAAAEAIAAAACQBAABkcnMvZTJvRG9jLnhtbFBLBQYA&#10;AAAABgAGAFkBAACJBQ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重庆市南川区民政局</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jUzOTJiOGY1NTYwNDkyNWU1MzNiNThjM2QxMGM0ZmIifQ=="/>
  </w:docVars>
  <w:rsids>
    <w:rsidRoot w:val="00172A27"/>
    <w:rsid w:val="019E71BD"/>
    <w:rsid w:val="01E93D58"/>
    <w:rsid w:val="04B679C3"/>
    <w:rsid w:val="05CD1C5E"/>
    <w:rsid w:val="05F07036"/>
    <w:rsid w:val="06E00104"/>
    <w:rsid w:val="080A54D2"/>
    <w:rsid w:val="080F63D8"/>
    <w:rsid w:val="09341458"/>
    <w:rsid w:val="098254C2"/>
    <w:rsid w:val="0A766EDE"/>
    <w:rsid w:val="0AD64BE8"/>
    <w:rsid w:val="0B0912D7"/>
    <w:rsid w:val="0E025194"/>
    <w:rsid w:val="0EEF0855"/>
    <w:rsid w:val="11DB7C71"/>
    <w:rsid w:val="152D2DCA"/>
    <w:rsid w:val="187168EA"/>
    <w:rsid w:val="196673CA"/>
    <w:rsid w:val="1CF734C9"/>
    <w:rsid w:val="1DEC284C"/>
    <w:rsid w:val="1E431586"/>
    <w:rsid w:val="1E6523AC"/>
    <w:rsid w:val="22440422"/>
    <w:rsid w:val="22BB4BBB"/>
    <w:rsid w:val="25EB1AF4"/>
    <w:rsid w:val="2DD05FE1"/>
    <w:rsid w:val="2EAE3447"/>
    <w:rsid w:val="31A15F24"/>
    <w:rsid w:val="36FB1DF0"/>
    <w:rsid w:val="395347B5"/>
    <w:rsid w:val="39A232A0"/>
    <w:rsid w:val="39E745AA"/>
    <w:rsid w:val="3B5A6BBB"/>
    <w:rsid w:val="3BD1479B"/>
    <w:rsid w:val="3CA154E3"/>
    <w:rsid w:val="3EDA13A6"/>
    <w:rsid w:val="3FF56C14"/>
    <w:rsid w:val="417B75E9"/>
    <w:rsid w:val="42430A63"/>
    <w:rsid w:val="42F058B7"/>
    <w:rsid w:val="436109F6"/>
    <w:rsid w:val="441A38D4"/>
    <w:rsid w:val="443A3B12"/>
    <w:rsid w:val="4504239D"/>
    <w:rsid w:val="4BC77339"/>
    <w:rsid w:val="4C9236C5"/>
    <w:rsid w:val="4E250A85"/>
    <w:rsid w:val="4FFD4925"/>
    <w:rsid w:val="505C172E"/>
    <w:rsid w:val="506405EA"/>
    <w:rsid w:val="511742AF"/>
    <w:rsid w:val="52F46F0B"/>
    <w:rsid w:val="532B6A10"/>
    <w:rsid w:val="539E4E99"/>
    <w:rsid w:val="53D8014D"/>
    <w:rsid w:val="550C209A"/>
    <w:rsid w:val="55E064E0"/>
    <w:rsid w:val="572C6D10"/>
    <w:rsid w:val="5DC34279"/>
    <w:rsid w:val="5FCD688E"/>
    <w:rsid w:val="5FF9BDAA"/>
    <w:rsid w:val="608816D1"/>
    <w:rsid w:val="60EF4E7F"/>
    <w:rsid w:val="648B0A32"/>
    <w:rsid w:val="658F6764"/>
    <w:rsid w:val="665233C1"/>
    <w:rsid w:val="69AC0D42"/>
    <w:rsid w:val="6AA94836"/>
    <w:rsid w:val="6AD9688B"/>
    <w:rsid w:val="6B68303F"/>
    <w:rsid w:val="6D0E3F22"/>
    <w:rsid w:val="744E4660"/>
    <w:rsid w:val="753355A2"/>
    <w:rsid w:val="759F1C61"/>
    <w:rsid w:val="769F2DE8"/>
    <w:rsid w:val="76FDEB7C"/>
    <w:rsid w:val="79C65162"/>
    <w:rsid w:val="79EE7E31"/>
    <w:rsid w:val="7C9011D9"/>
    <w:rsid w:val="7DC651C5"/>
    <w:rsid w:val="7FCC2834"/>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10">
    <w:name w:val="Default Paragraph Font"/>
    <w:semiHidden/>
    <w:qFormat/>
    <w:uiPriority w:val="0"/>
  </w:style>
  <w:style w:type="table" w:default="1" w:styleId="9">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Body Text"/>
    <w:basedOn w:val="1"/>
    <w:next w:val="5"/>
    <w:qFormat/>
    <w:uiPriority w:val="0"/>
    <w:pPr>
      <w:spacing w:after="120"/>
    </w:pPr>
  </w:style>
  <w:style w:type="paragraph" w:customStyle="1" w:styleId="5">
    <w:name w:val="默认"/>
    <w:qFormat/>
    <w:uiPriority w:val="99"/>
    <w:rPr>
      <w:rFonts w:ascii="Helvetica" w:hAnsi="Helvetica" w:eastAsia="宋体" w:cs="Helvetica"/>
      <w:color w:val="000000"/>
      <w:kern w:val="0"/>
      <w:sz w:val="22"/>
      <w:szCs w:val="22"/>
      <w:lang w:val="en-US" w:eastAsia="zh-CN" w:bidi="ar-SA"/>
    </w:rPr>
  </w:style>
  <w:style w:type="paragraph" w:styleId="6">
    <w:name w:val="footer"/>
    <w:basedOn w:val="1"/>
    <w:qFormat/>
    <w:uiPriority w:val="0"/>
    <w:pPr>
      <w:tabs>
        <w:tab w:val="center" w:pos="4153"/>
        <w:tab w:val="right" w:pos="8306"/>
      </w:tabs>
      <w:snapToGrid w:val="0"/>
      <w:jc w:val="left"/>
    </w:pPr>
    <w:rPr>
      <w:sz w:val="18"/>
    </w:rPr>
  </w:style>
  <w:style w:type="paragraph" w:styleId="7">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8">
    <w:name w:val="Normal (Web)"/>
    <w:basedOn w:val="1"/>
    <w:qFormat/>
    <w:uiPriority w:val="0"/>
    <w:pPr>
      <w:spacing w:before="0" w:beforeAutospacing="1" w:after="0" w:afterAutospacing="1"/>
      <w:ind w:left="0" w:right="0"/>
      <w:jc w:val="left"/>
    </w:pPr>
    <w:rPr>
      <w:kern w:val="0"/>
      <w:sz w:val="24"/>
      <w:lang w:val="en-US" w:eastAsia="zh-CN" w:bidi="ar"/>
    </w:rPr>
  </w:style>
  <w:style w:type="character" w:styleId="11">
    <w:name w:val="Strong"/>
    <w:basedOn w:val="10"/>
    <w:qFormat/>
    <w:uiPriority w:val="0"/>
    <w:rPr>
      <w:b/>
      <w:bCs/>
    </w:rPr>
  </w:style>
  <w:style w:type="paragraph" w:customStyle="1" w:styleId="12">
    <w:name w:val="p0"/>
    <w:basedOn w:val="1"/>
    <w:qFormat/>
    <w:uiPriority w:val="0"/>
    <w:pPr>
      <w:widowControl/>
    </w:pPr>
    <w:rPr>
      <w:rFonts w:ascii="Calibri" w:hAnsi="Calibri" w:eastAsia="宋体" w:cs="宋体"/>
      <w:kern w:val="0"/>
      <w:szCs w:val="32"/>
    </w:rPr>
  </w:style>
  <w:style w:type="paragraph" w:customStyle="1" w:styleId="13">
    <w:name w:val="样式1"/>
    <w:qFormat/>
    <w:uiPriority w:val="0"/>
    <w:pPr>
      <w:spacing w:line="500" w:lineRule="exact"/>
      <w:jc w:val="center"/>
    </w:pPr>
    <w:rPr>
      <w:rFonts w:ascii="Times New Roman" w:hAnsi="Times New Roman" w:eastAsia="方正仿宋_GBK" w:cs="Times New Roman"/>
      <w:kern w:val="2"/>
      <w:sz w:val="32"/>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11</Pages>
  <Words>6050</Words>
  <Characters>6155</Characters>
  <Lines>1</Lines>
  <Paragraphs>1</Paragraphs>
  <TotalTime>6</TotalTime>
  <ScaleCrop>false</ScaleCrop>
  <LinksUpToDate>false</LinksUpToDate>
  <CharactersWithSpaces>6854</CharactersWithSpaces>
  <Application>WPS Office_12.1.0.15712_F1E327BC-269C-435d-A152-05C5408002CA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hhh</cp:lastModifiedBy>
  <cp:lastPrinted>2022-06-06T16:09:00Z</cp:lastPrinted>
  <dcterms:modified xsi:type="dcterms:W3CDTF">2023-11-03T03:01:43Z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2052-12.1.0.15712</vt:lpwstr>
  </property>
  <property fmtid="{D5CDD505-2E9C-101B-9397-08002B2CF9AE}" pid="3" name="ICV">
    <vt:lpwstr>7F1CC62CCF5348CFA0DB6BE222D4103F</vt:lpwstr>
  </property>
</Properties>
</file>