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right"/>
        <w:rPr>
          <w:rFonts w:hint="default" w:ascii="Times New Roman" w:hAnsi="Times New Roman" w:cs="Times New Roman"/>
          <w:snapToGrid w:val="0"/>
          <w:color w:val="000000"/>
          <w:szCs w:val="32"/>
        </w:rPr>
      </w:pPr>
      <w:r>
        <w:rPr>
          <w:rFonts w:hint="default" w:ascii="Times New Roman" w:hAnsi="Times New Roman" w:cs="Times New Roman"/>
          <w:snapToGrid w:val="0"/>
          <w:color w:val="000000"/>
          <w:szCs w:val="32"/>
        </w:rPr>
        <w:t>A类</w:t>
      </w:r>
    </w:p>
    <w:p>
      <w:pPr>
        <w:pBdr>
          <w:top w:val="none" w:color="auto" w:sz="0" w:space="1"/>
          <w:left w:val="none" w:color="auto" w:sz="0" w:space="4"/>
          <w:bottom w:val="none" w:color="auto" w:sz="0" w:space="1"/>
          <w:right w:val="none" w:color="auto" w:sz="0" w:space="4"/>
          <w:between w:val="none" w:color="000000" w:sz="0" w:space="0"/>
        </w:pBdr>
        <w:adjustRightInd w:val="0"/>
        <w:snapToGrid w:val="0"/>
        <w:jc w:val="center"/>
        <w:rPr>
          <w:rFonts w:hint="default" w:ascii="Times New Roman" w:hAnsi="Times New Roman" w:eastAsia="方正小标宋_GBK" w:cs="Times New Roman"/>
          <w:snapToGrid w:val="0"/>
          <w:color w:val="FF0000"/>
          <w:sz w:val="84"/>
          <w:szCs w:val="84"/>
        </w:rPr>
      </w:pPr>
      <w:r>
        <w:rPr>
          <w:rFonts w:hint="default" w:ascii="Times New Roman" w:hAnsi="Times New Roman" w:cs="Times New Roman"/>
          <w:szCs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839470</wp:posOffset>
                </wp:positionV>
                <wp:extent cx="5581650" cy="9525"/>
                <wp:effectExtent l="0" t="28575" r="0" b="38100"/>
                <wp:wrapNone/>
                <wp:docPr id="1" name="直接连接符 1"/>
                <wp:cNvGraphicFramePr/>
                <a:graphic xmlns:a="http://schemas.openxmlformats.org/drawingml/2006/main">
                  <a:graphicData uri="http://schemas.microsoft.com/office/word/2010/wordprocessingShape">
                    <wps:wsp>
                      <wps:cNvCnPr/>
                      <wps:spPr>
                        <a:xfrm>
                          <a:off x="0" y="0"/>
                          <a:ext cx="5581650" cy="952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3pt;margin-top:66.1pt;height:0.75pt;width:439.5pt;z-index:251660288;mso-width-relative:page;mso-height-relative:page;" filled="f" stroked="t" coordsize="21600,21600" o:gfxdata="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xtqH9UAAAAJAQAADwAAAAAAAAABACAAAAAiAAAAZHJzL2Rvd25yZXYueG1sUEsB&#10;AhQAFAAAAAgAh07iQFACZwT4AQAA8AMAAA4AAAAAAAAAAQAgAAAAJAEAAGRycy9lMm9Eb2MueG1s&#10;UEsFBgAAAAAGAAYAWQEAAI4FAAAAAA==&#10;">
                <v:fill on="f" focussize="0,0"/>
                <v:stroke weight="4.5pt" color="#FF0000" linestyle="thickThin" joinstyle="round"/>
                <v:imagedata o:title=""/>
                <o:lock v:ext="edit" aspectratio="f"/>
              </v:line>
            </w:pict>
          </mc:Fallback>
        </mc:AlternateContent>
      </w:r>
      <w:r>
        <w:rPr>
          <w:rFonts w:hint="default" w:ascii="Times New Roman" w:hAnsi="Times New Roman" w:eastAsia="方正小标宋_GBK" w:cs="Times New Roman"/>
          <w:snapToGrid w:val="0"/>
          <w:color w:val="FF0000"/>
          <w:sz w:val="84"/>
          <w:szCs w:val="84"/>
        </w:rPr>
        <w:t>重庆市南川区林业局</w:t>
      </w:r>
    </w:p>
    <w:p>
      <w:pPr>
        <w:spacing w:line="480" w:lineRule="exact"/>
        <w:jc w:val="right"/>
        <w:rPr>
          <w:rFonts w:hint="default" w:ascii="Times New Roman" w:hAnsi="Times New Roman" w:cs="Times New Roman"/>
          <w:szCs w:val="32"/>
        </w:rPr>
      </w:pPr>
      <w:r>
        <w:rPr>
          <w:rFonts w:hint="default" w:ascii="Times New Roman" w:hAnsi="Times New Roman" w:cs="Times New Roman"/>
          <w:szCs w:val="32"/>
        </w:rPr>
        <w:t>南川林函〔202</w:t>
      </w:r>
      <w:r>
        <w:rPr>
          <w:rFonts w:hint="default" w:ascii="Times New Roman" w:hAnsi="Times New Roman" w:cs="Times New Roman"/>
          <w:szCs w:val="32"/>
          <w:lang w:val="en-US" w:eastAsia="zh-CN"/>
        </w:rPr>
        <w:t>6</w:t>
      </w:r>
      <w:r>
        <w:rPr>
          <w:rFonts w:hint="default" w:ascii="Times New Roman" w:hAnsi="Times New Roman" w:cs="Times New Roman"/>
          <w:szCs w:val="32"/>
        </w:rPr>
        <w:t>〕</w:t>
      </w:r>
      <w:r>
        <w:rPr>
          <w:rFonts w:hint="default" w:ascii="Times New Roman" w:hAnsi="Times New Roman" w:cs="Times New Roman"/>
          <w:szCs w:val="32"/>
          <w:lang w:val="en-US" w:eastAsia="zh-CN"/>
        </w:rPr>
        <w:t>51</w:t>
      </w:r>
      <w:r>
        <w:rPr>
          <w:rFonts w:hint="default" w:ascii="Times New Roman" w:hAnsi="Times New Roman" w:cs="Times New Roman"/>
          <w:szCs w:val="32"/>
        </w:rPr>
        <w:t>号</w:t>
      </w:r>
    </w:p>
    <w:p>
      <w:pPr>
        <w:spacing w:line="480" w:lineRule="exact"/>
        <w:rPr>
          <w:rFonts w:hint="default" w:ascii="Times New Roman" w:hAnsi="Times New Roman" w:cs="Times New Roman"/>
          <w:szCs w:val="32"/>
        </w:rPr>
      </w:pPr>
    </w:p>
    <w:p>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方正小标宋_GBK" w:cs="Times New Roman"/>
          <w:spacing w:val="0"/>
          <w:kern w:val="2"/>
          <w:sz w:val="44"/>
          <w:szCs w:val="44"/>
        </w:rPr>
      </w:pPr>
      <w:r>
        <w:rPr>
          <w:rFonts w:hint="default" w:ascii="Times New Roman" w:hAnsi="Times New Roman" w:eastAsia="方正小标宋_GBK" w:cs="Times New Roman"/>
          <w:spacing w:val="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spacing w:val="0"/>
          <w:kern w:val="2"/>
          <w:sz w:val="44"/>
          <w:szCs w:val="44"/>
        </w:rPr>
      </w:pPr>
      <w:r>
        <w:rPr>
          <w:rFonts w:hint="default" w:ascii="Times New Roman" w:hAnsi="Times New Roman" w:eastAsia="方正小标宋_GBK" w:cs="Times New Roman"/>
          <w:spacing w:val="0"/>
          <w:kern w:val="2"/>
          <w:sz w:val="44"/>
          <w:szCs w:val="44"/>
          <w:lang w:val="en-US" w:eastAsia="zh-CN" w:bidi="ar"/>
        </w:rPr>
        <w:t>重庆市南川区林业局</w:t>
      </w:r>
      <w:r>
        <w:rPr>
          <w:rFonts w:hint="default" w:ascii="Times New Roman" w:hAnsi="Times New Roman" w:eastAsia="方正小标宋_GBK" w:cs="Times New Roman"/>
          <w:spacing w:val="0"/>
          <w:kern w:val="2"/>
          <w:sz w:val="44"/>
          <w:szCs w:val="44"/>
          <w:lang w:val="en-US" w:eastAsia="zh-CN" w:bidi="ar"/>
        </w:rPr>
        <w:br w:type="textWrapping"/>
      </w:r>
      <w:r>
        <w:rPr>
          <w:rFonts w:hint="default" w:ascii="Times New Roman" w:hAnsi="Times New Roman" w:eastAsia="方正小标宋_GBK" w:cs="Times New Roman"/>
          <w:spacing w:val="0"/>
          <w:kern w:val="2"/>
          <w:sz w:val="44"/>
          <w:szCs w:val="44"/>
          <w:lang w:val="en-US" w:eastAsia="zh-CN" w:bidi="ar"/>
        </w:rPr>
        <w:t>关于区人大十八届八次会议第20260007号</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jc w:val="center"/>
        <w:textAlignment w:val="auto"/>
        <w:rPr>
          <w:rFonts w:hint="default" w:ascii="Times New Roman" w:hAnsi="Times New Roman" w:eastAsia="方正小标宋_GBK" w:cs="Times New Roman"/>
          <w:spacing w:val="0"/>
          <w:kern w:val="2"/>
          <w:sz w:val="44"/>
          <w:szCs w:val="44"/>
        </w:rPr>
      </w:pPr>
      <w:r>
        <w:rPr>
          <w:rFonts w:hint="default" w:ascii="Times New Roman" w:hAnsi="Times New Roman" w:eastAsia="方正小标宋_GBK" w:cs="Times New Roman"/>
          <w:spacing w:val="0"/>
          <w:kern w:val="2"/>
          <w:sz w:val="44"/>
          <w:szCs w:val="44"/>
          <w:lang w:val="en-US" w:eastAsia="zh-CN" w:bidi="ar"/>
        </w:rPr>
        <w:t>建议办理情况的答复函</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韩凤代表：</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您提出的《关于加快我区林下中药材产业高质量发展的建议》（第20260007号）收悉。您的建议紧扣产业发展实际，对推动我区林下中药材产业高质量发展、助力乡村振兴具有重要指导意义。经与区农业农村委协办单位共同研究办理，现将办理情况答复如下。</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 xml:space="preserve">  </w:t>
      </w:r>
      <w:r>
        <w:rPr>
          <w:rFonts w:hint="default" w:ascii="Times New Roman" w:hAnsi="Times New Roman" w:eastAsia="方正黑体_GBK" w:cs="Times New Roman"/>
          <w:spacing w:val="0"/>
          <w:kern w:val="2"/>
          <w:sz w:val="32"/>
          <w:szCs w:val="32"/>
          <w:lang w:val="en-US" w:eastAsia="zh-CN" w:bidi="ar"/>
        </w:rPr>
        <w:t xml:space="preserve">  一、关</w:t>
      </w:r>
      <w:r>
        <w:rPr>
          <w:rFonts w:hint="default" w:ascii="方正仿宋_GBK" w:hAnsi="方正仿宋_GBK" w:eastAsia="方正仿宋_GBK" w:cs="方正仿宋_GBK"/>
          <w:b/>
          <w:bCs/>
          <w:spacing w:val="0"/>
          <w:kern w:val="2"/>
          <w:sz w:val="32"/>
          <w:szCs w:val="32"/>
          <w:lang w:val="en-US" w:eastAsia="zh-CN" w:bidi="ar"/>
        </w:rPr>
        <w:t>于“强化规划引领，优化品种布局”的</w:t>
      </w:r>
      <w:r>
        <w:rPr>
          <w:rFonts w:hint="default" w:ascii="Times New Roman" w:hAnsi="Times New Roman" w:eastAsia="方正黑体_GBK" w:cs="Times New Roman"/>
          <w:spacing w:val="0"/>
          <w:kern w:val="2"/>
          <w:sz w:val="32"/>
          <w:szCs w:val="32"/>
          <w:lang w:val="en-US" w:eastAsia="zh-CN" w:bidi="ar"/>
        </w:rPr>
        <w:t>建议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jc w:val="both"/>
        <w:textAlignment w:val="auto"/>
        <w:rPr>
          <w:rFonts w:hint="default" w:ascii="Times New Roman" w:hAnsi="Times New Roman" w:eastAsia="方正仿宋_GBK" w:cs="Times New Roman"/>
          <w:b w:val="0"/>
          <w:bCs w:val="0"/>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一是在规划引领方面。</w:t>
      </w:r>
      <w:r>
        <w:rPr>
          <w:rFonts w:hint="default" w:ascii="Times New Roman" w:hAnsi="Times New Roman" w:eastAsia="方正仿宋_GBK" w:cs="Times New Roman"/>
          <w:b w:val="0"/>
          <w:bCs w:val="0"/>
          <w:spacing w:val="0"/>
          <w:kern w:val="2"/>
          <w:sz w:val="32"/>
          <w:szCs w:val="32"/>
          <w:lang w:val="en-US" w:eastAsia="zh-CN" w:bidi="ar"/>
        </w:rPr>
        <w:t>我区通过系统分析立体气候、土壤类型、海拔高度等自然条件，结合中药材生长习性与市场需求，</w:t>
      </w:r>
      <w:r>
        <w:rPr>
          <w:rFonts w:hint="default" w:ascii="Times New Roman" w:hAnsi="Times New Roman" w:eastAsia="方正仿宋_GBK" w:cs="Times New Roman"/>
          <w:color w:val="000000"/>
          <w:spacing w:val="0"/>
          <w:kern w:val="2"/>
          <w:sz w:val="32"/>
          <w:szCs w:val="32"/>
          <w:lang w:val="en-US" w:eastAsia="zh-CN" w:bidi="ar"/>
        </w:rPr>
        <w:t>科学编制《南川区中药材种植地图》，</w:t>
      </w:r>
      <w:r>
        <w:rPr>
          <w:rFonts w:hint="default" w:ascii="Times New Roman" w:hAnsi="Times New Roman" w:eastAsia="方正仿宋_GBK" w:cs="Times New Roman"/>
          <w:b w:val="0"/>
          <w:bCs w:val="0"/>
          <w:spacing w:val="0"/>
          <w:kern w:val="2"/>
          <w:sz w:val="32"/>
          <w:szCs w:val="32"/>
          <w:lang w:val="en-US" w:eastAsia="zh-CN" w:bidi="ar"/>
        </w:rPr>
        <w:t>该地图以区域资源禀赋与产业规划为基础，科学规划了120余种适宜本地种植的中药材的空间布局，为全区中药材产业的标准化、规模化、品牌化发展提供科学依据和空间指引。</w:t>
      </w:r>
      <w:r>
        <w:rPr>
          <w:rFonts w:hint="default" w:ascii="Times New Roman" w:hAnsi="Times New Roman" w:eastAsia="方正仿宋_GBK" w:cs="Times New Roman"/>
          <w:b/>
          <w:bCs/>
          <w:spacing w:val="0"/>
          <w:kern w:val="2"/>
          <w:sz w:val="32"/>
          <w:szCs w:val="32"/>
          <w:lang w:val="en-US" w:eastAsia="zh-CN" w:bidi="ar"/>
        </w:rPr>
        <w:t>二是优化品种布局方面。</w:t>
      </w:r>
      <w:r>
        <w:rPr>
          <w:rFonts w:hint="default" w:ascii="Times New Roman" w:hAnsi="Times New Roman" w:eastAsia="方正仿宋_GBK" w:cs="Times New Roman"/>
          <w:b w:val="0"/>
          <w:bCs w:val="0"/>
          <w:spacing w:val="0"/>
          <w:kern w:val="2"/>
          <w:sz w:val="32"/>
          <w:szCs w:val="32"/>
          <w:lang w:val="en-US" w:eastAsia="zh-CN" w:bidi="ar"/>
        </w:rPr>
        <w:t>我区高度重视中药材产业发展，开展南川区中药材主力品种和重点品种论证，确定</w:t>
      </w:r>
      <w:r>
        <w:rPr>
          <w:rFonts w:hint="default" w:ascii="方正仿宋_GBK" w:hAnsi="方正仿宋_GBK" w:eastAsia="方正仿宋_GBK" w:cs="方正仿宋_GBK"/>
          <w:b w:val="0"/>
          <w:bCs w:val="0"/>
          <w:spacing w:val="0"/>
          <w:kern w:val="2"/>
          <w:sz w:val="32"/>
          <w:szCs w:val="32"/>
          <w:lang w:val="en-US" w:eastAsia="zh-CN" w:bidi="ar"/>
        </w:rPr>
        <w:t>“</w:t>
      </w:r>
      <w:r>
        <w:rPr>
          <w:rFonts w:hint="default" w:ascii="Times New Roman" w:hAnsi="Times New Roman" w:eastAsia="方正仿宋_GBK" w:cs="Times New Roman"/>
          <w:b w:val="0"/>
          <w:bCs w:val="0"/>
          <w:spacing w:val="0"/>
          <w:kern w:val="2"/>
          <w:sz w:val="32"/>
          <w:szCs w:val="32"/>
          <w:lang w:val="en-US" w:eastAsia="zh-CN" w:bidi="ar"/>
        </w:rPr>
        <w:t>2+9</w:t>
      </w:r>
      <w:r>
        <w:rPr>
          <w:rFonts w:hint="default" w:ascii="方正仿宋_GBK" w:hAnsi="方正仿宋_GBK" w:eastAsia="方正仿宋_GBK" w:cs="方正仿宋_GBK"/>
          <w:b w:val="0"/>
          <w:bCs w:val="0"/>
          <w:spacing w:val="0"/>
          <w:kern w:val="2"/>
          <w:sz w:val="32"/>
          <w:szCs w:val="32"/>
          <w:lang w:val="en-US" w:eastAsia="zh-CN" w:bidi="ar"/>
        </w:rPr>
        <w:t>”中药材发</w:t>
      </w:r>
      <w:r>
        <w:rPr>
          <w:rFonts w:hint="default" w:ascii="Times New Roman" w:hAnsi="Times New Roman" w:eastAsia="方正仿宋_GBK" w:cs="Times New Roman"/>
          <w:b w:val="0"/>
          <w:bCs w:val="0"/>
          <w:spacing w:val="0"/>
          <w:kern w:val="2"/>
          <w:sz w:val="32"/>
          <w:szCs w:val="32"/>
          <w:lang w:val="en-US" w:eastAsia="zh-CN" w:bidi="ar"/>
        </w:rPr>
        <w:t>展品种（即天麻、林麝2个主力品种，艾草、黄连、玄参、淫羊藿、黄精、金钱草、毛黄堇、灵芝、前胡9个重点品种）。完成黄连、玄参等主力品种选定推广，联合区农业农村委、金山镇、头渡镇、水江镇、德隆镇等开展调研论证，摸清天麻适种区域，除头渡镇适种区域均在金佛山保护区内，其余3个乡镇均已勾出适种区域红线图，其中金山镇13358.7亩、德隆镇1216.2亩、水江镇13550.5亩，合计28125.4亩，初步</w:t>
      </w:r>
      <w:r>
        <w:rPr>
          <w:rFonts w:hint="eastAsia" w:ascii="方正仿宋_GBK" w:hAnsi="方正仿宋_GBK" w:eastAsia="方正仿宋_GBK" w:cs="方正仿宋_GBK"/>
          <w:b w:val="0"/>
          <w:bCs w:val="0"/>
          <w:spacing w:val="0"/>
          <w:kern w:val="2"/>
          <w:sz w:val="32"/>
          <w:szCs w:val="32"/>
          <w:lang w:val="en-US" w:eastAsia="zh-CN" w:bidi="ar"/>
        </w:rPr>
        <w:t>形成“核心区引领、全域化推进”的种</w:t>
      </w:r>
      <w:r>
        <w:rPr>
          <w:rFonts w:hint="default" w:ascii="Times New Roman" w:hAnsi="Times New Roman" w:eastAsia="方正仿宋_GBK" w:cs="Times New Roman"/>
          <w:b w:val="0"/>
          <w:bCs w:val="0"/>
          <w:spacing w:val="0"/>
          <w:kern w:val="2"/>
          <w:sz w:val="32"/>
          <w:szCs w:val="32"/>
          <w:lang w:val="en-US" w:eastAsia="zh-CN" w:bidi="ar"/>
        </w:rPr>
        <w:t>植格局。</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b w:val="0"/>
          <w:bCs w:val="0"/>
          <w:spacing w:val="0"/>
          <w:kern w:val="2"/>
          <w:sz w:val="32"/>
          <w:szCs w:val="32"/>
        </w:rPr>
      </w:pPr>
      <w:r>
        <w:rPr>
          <w:rFonts w:hint="default" w:ascii="Times New Roman" w:hAnsi="Times New Roman" w:eastAsia="方正黑体_GBK" w:cs="Times New Roman"/>
          <w:b w:val="0"/>
          <w:bCs w:val="0"/>
          <w:spacing w:val="0"/>
          <w:kern w:val="2"/>
          <w:sz w:val="32"/>
          <w:szCs w:val="32"/>
          <w:lang w:val="en-US" w:eastAsia="zh-CN" w:bidi="ar"/>
        </w:rPr>
        <w:t>二、关于“加强科技支撑，构建林下中药材技术体系”的建议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b w:val="0"/>
          <w:bCs w:val="0"/>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一是在加强科技支撑方面。</w:t>
      </w:r>
      <w:r>
        <w:rPr>
          <w:rFonts w:hint="default" w:ascii="Times New Roman" w:hAnsi="Times New Roman" w:eastAsia="方正仿宋_GBK" w:cs="Times New Roman"/>
          <w:spacing w:val="0"/>
          <w:kern w:val="2"/>
          <w:sz w:val="32"/>
          <w:szCs w:val="32"/>
          <w:lang w:val="en-US" w:eastAsia="zh-CN" w:bidi="ar"/>
        </w:rPr>
        <w:t>依托重庆市现代农业产业技术体系中药材创新团队南川综合试验站平台，在山王坪镇、德隆镇等开展绿色防控技术培训5次，培训种植大户、企业人员350人，印发《玄参生态种植及病虫害绿色防控技术》《黄连生态种植技术及病虫害绿色防控技术》等技术培训资料300份。根据农时季节编制了种植、病虫害防治技术，发布技术指导要点2次，推广应用病虫害绿色防控技术1.12万亩。</w:t>
      </w:r>
      <w:r>
        <w:rPr>
          <w:rFonts w:hint="default" w:ascii="Times New Roman" w:hAnsi="Times New Roman" w:eastAsia="方正仿宋_GBK" w:cs="Times New Roman"/>
          <w:b/>
          <w:bCs/>
          <w:spacing w:val="0"/>
          <w:kern w:val="2"/>
          <w:sz w:val="32"/>
          <w:szCs w:val="32"/>
          <w:lang w:val="en-US" w:eastAsia="zh-CN" w:bidi="ar"/>
        </w:rPr>
        <w:t>二是在</w:t>
      </w:r>
      <w:r>
        <w:rPr>
          <w:rFonts w:hint="default" w:ascii="方正仿宋_GBK" w:hAnsi="方正仿宋_GBK" w:eastAsia="方正仿宋_GBK" w:cs="方正仿宋_GBK"/>
          <w:b/>
          <w:bCs/>
          <w:spacing w:val="0"/>
          <w:kern w:val="2"/>
          <w:sz w:val="32"/>
          <w:szCs w:val="32"/>
          <w:lang w:val="en-US" w:eastAsia="zh-CN" w:bidi="ar"/>
        </w:rPr>
        <w:t>构建“市</w:t>
      </w:r>
      <w:r>
        <w:rPr>
          <w:rFonts w:hint="default" w:ascii="Times New Roman" w:hAnsi="Times New Roman" w:eastAsia="方正仿宋_GBK" w:cs="Times New Roman"/>
          <w:b/>
          <w:bCs/>
          <w:spacing w:val="0"/>
          <w:kern w:val="2"/>
          <w:sz w:val="32"/>
          <w:szCs w:val="32"/>
          <w:lang w:val="en-US" w:eastAsia="zh-CN" w:bidi="ar"/>
        </w:rPr>
        <w:t>级专家+县级技术骨干+乡土专</w:t>
      </w:r>
      <w:r>
        <w:rPr>
          <w:rFonts w:hint="default" w:ascii="方正仿宋_GBK" w:hAnsi="方正仿宋_GBK" w:eastAsia="方正仿宋_GBK" w:cs="方正仿宋_GBK"/>
          <w:b/>
          <w:bCs/>
          <w:spacing w:val="0"/>
          <w:kern w:val="2"/>
          <w:sz w:val="32"/>
          <w:szCs w:val="32"/>
          <w:lang w:val="en-US" w:eastAsia="zh-CN" w:bidi="ar"/>
        </w:rPr>
        <w:t>家”三级服务</w:t>
      </w:r>
      <w:r>
        <w:rPr>
          <w:rFonts w:hint="default" w:ascii="Times New Roman" w:hAnsi="Times New Roman" w:eastAsia="方正仿宋_GBK" w:cs="Times New Roman"/>
          <w:b/>
          <w:bCs/>
          <w:spacing w:val="0"/>
          <w:kern w:val="2"/>
          <w:sz w:val="32"/>
          <w:szCs w:val="32"/>
          <w:lang w:val="en-US" w:eastAsia="zh-CN" w:bidi="ar"/>
        </w:rPr>
        <w:t>体系方面。</w:t>
      </w:r>
      <w:r>
        <w:rPr>
          <w:rFonts w:hint="default" w:ascii="Times New Roman" w:hAnsi="Times New Roman" w:eastAsia="方正仿宋_GBK" w:cs="Times New Roman"/>
          <w:b w:val="0"/>
          <w:bCs w:val="0"/>
          <w:spacing w:val="0"/>
          <w:kern w:val="2"/>
          <w:sz w:val="32"/>
          <w:szCs w:val="32"/>
          <w:lang w:val="en-US" w:eastAsia="zh-CN" w:bidi="ar"/>
        </w:rPr>
        <w:t>按照市林业局市级林业科技特派员服务区县工作安排，常态化邀请市林业科技特派员指导我区林下中药材规范种植。同时，</w:t>
      </w:r>
      <w:r>
        <w:rPr>
          <w:rFonts w:hint="default" w:ascii="Times New Roman" w:hAnsi="Times New Roman" w:eastAsia="方正仿宋_GBK" w:cs="Times New Roman"/>
          <w:spacing w:val="0"/>
          <w:kern w:val="2"/>
          <w:sz w:val="32"/>
          <w:szCs w:val="32"/>
          <w:lang w:val="en-US" w:eastAsia="zh-CN" w:bidi="ar"/>
        </w:rPr>
        <w:t>我局组建了由50名具有中级及以上职称的林业科技骨干组成的团队，在全区34个乡镇开展林业科技</w:t>
      </w:r>
      <w:r>
        <w:rPr>
          <w:rFonts w:hint="default" w:ascii="Times New Roman" w:hAnsi="Times New Roman" w:eastAsia="方正仿宋_GBK" w:cs="Times New Roman"/>
          <w:b w:val="0"/>
          <w:bCs w:val="0"/>
          <w:spacing w:val="0"/>
          <w:kern w:val="2"/>
          <w:sz w:val="32"/>
          <w:szCs w:val="32"/>
          <w:lang w:val="en-US" w:eastAsia="zh-CN" w:bidi="ar"/>
        </w:rPr>
        <w:t>实践活动，</w:t>
      </w:r>
      <w:r>
        <w:rPr>
          <w:rFonts w:hint="default" w:ascii="Times New Roman" w:hAnsi="Times New Roman" w:eastAsia="方正仿宋_GBK" w:cs="Times New Roman"/>
          <w:spacing w:val="0"/>
          <w:kern w:val="2"/>
          <w:sz w:val="32"/>
          <w:szCs w:val="32"/>
          <w:lang w:val="en-US" w:eastAsia="zh-CN" w:bidi="ar"/>
        </w:rPr>
        <w:t>组织林业科技专家下沉基层、进村入户开展林业科技服务工作，50名专家累计进村服务101人次，提供专家咨询200次，开展技术培训20次，服务林农5000人次。充分发挥林业专家及乡土专家的专业技术优势，强化林业科技在林业产业发展中的支撑作用。</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黑体_GBK" w:cs="Times New Roman"/>
          <w:spacing w:val="0"/>
          <w:kern w:val="2"/>
          <w:sz w:val="32"/>
          <w:szCs w:val="32"/>
          <w:lang w:val="en-US" w:eastAsia="zh-CN" w:bidi="ar"/>
        </w:rPr>
        <w:t>三、关于</w:t>
      </w:r>
      <w:r>
        <w:rPr>
          <w:rFonts w:hint="default" w:ascii="方正仿宋_GBK" w:hAnsi="方正仿宋_GBK" w:eastAsia="方正仿宋_GBK" w:cs="方正仿宋_GBK"/>
          <w:b/>
          <w:bCs/>
          <w:spacing w:val="0"/>
          <w:kern w:val="2"/>
          <w:sz w:val="32"/>
          <w:szCs w:val="32"/>
          <w:lang w:val="en-US" w:eastAsia="zh-CN" w:bidi="ar"/>
        </w:rPr>
        <w:t>“延伸产业链条，提升林下中药材附加值”的建</w:t>
      </w:r>
      <w:r>
        <w:rPr>
          <w:rFonts w:hint="default" w:ascii="Times New Roman" w:hAnsi="Times New Roman" w:eastAsia="方正黑体_GBK" w:cs="Times New Roman"/>
          <w:spacing w:val="0"/>
          <w:kern w:val="2"/>
          <w:sz w:val="32"/>
          <w:szCs w:val="32"/>
          <w:lang w:val="en-US" w:eastAsia="zh-CN" w:bidi="ar"/>
        </w:rPr>
        <w:t>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一是在延伸产业链条方面。</w:t>
      </w:r>
      <w:r>
        <w:rPr>
          <w:rFonts w:hint="default" w:ascii="Times New Roman" w:hAnsi="Times New Roman" w:eastAsia="方正仿宋_GBK" w:cs="Times New Roman"/>
          <w:b w:val="0"/>
          <w:bCs w:val="0"/>
          <w:spacing w:val="0"/>
          <w:kern w:val="2"/>
          <w:sz w:val="32"/>
          <w:szCs w:val="32"/>
          <w:lang w:val="en-US" w:eastAsia="zh-CN" w:bidi="ar"/>
        </w:rPr>
        <w:t>开展产业集群项目建设，</w:t>
      </w:r>
      <w:r>
        <w:rPr>
          <w:rFonts w:hint="default" w:ascii="Times New Roman" w:hAnsi="Times New Roman" w:eastAsia="方正仿宋_GBK" w:cs="Times New Roman"/>
          <w:spacing w:val="0"/>
          <w:kern w:val="2"/>
          <w:sz w:val="32"/>
          <w:szCs w:val="32"/>
          <w:lang w:val="en-US" w:eastAsia="zh-CN" w:bidi="ar"/>
        </w:rPr>
        <w:t>支持上药慧远、天圣药业等龙头企业与乡镇、林业大户共建林下中药材种植基地，推行订单种植模式，提升原料品质与初级加工附加值。目前，我区第一批</w:t>
      </w:r>
      <w:r>
        <w:rPr>
          <w:rFonts w:hint="default" w:ascii="方正仿宋_GBK" w:hAnsi="方正仿宋_GBK" w:eastAsia="方正仿宋_GBK" w:cs="方正仿宋_GBK"/>
          <w:b w:val="0"/>
          <w:bCs w:val="0"/>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渝十</w:t>
      </w:r>
      <w:r>
        <w:rPr>
          <w:rFonts w:hint="default" w:ascii="方正仿宋_GBK" w:hAnsi="方正仿宋_GBK" w:eastAsia="方正仿宋_GBK" w:cs="方正仿宋_GBK"/>
          <w:b w:val="0"/>
          <w:bCs w:val="0"/>
          <w:spacing w:val="0"/>
          <w:kern w:val="2"/>
          <w:sz w:val="32"/>
          <w:szCs w:val="32"/>
          <w:lang w:val="en-US" w:eastAsia="zh-CN" w:bidi="ar"/>
        </w:rPr>
        <w:t>味”中</w:t>
      </w:r>
      <w:r>
        <w:rPr>
          <w:rFonts w:hint="default" w:ascii="Times New Roman" w:hAnsi="Times New Roman" w:eastAsia="方正仿宋_GBK" w:cs="Times New Roman"/>
          <w:spacing w:val="0"/>
          <w:kern w:val="2"/>
          <w:sz w:val="32"/>
          <w:szCs w:val="32"/>
          <w:lang w:val="en-US" w:eastAsia="zh-CN" w:bidi="ar"/>
        </w:rPr>
        <w:t>药材产业集群共实施15个项目，涉及组培中心、种植基地、初加工、精深加工、智慧管理等方面，已开工13个，完成总进度86.7%，产业链条不断延伸，产业核心竞争力与市场影响力显著提升。</w:t>
      </w:r>
      <w:r>
        <w:rPr>
          <w:rFonts w:hint="default" w:ascii="Times New Roman" w:hAnsi="Times New Roman" w:eastAsia="方正仿宋_GBK" w:cs="Times New Roman"/>
          <w:b/>
          <w:bCs/>
          <w:spacing w:val="0"/>
          <w:kern w:val="2"/>
          <w:sz w:val="32"/>
          <w:szCs w:val="32"/>
          <w:lang w:val="en-US" w:eastAsia="zh-CN" w:bidi="ar"/>
        </w:rPr>
        <w:t>二是在“中医药+文旅”融合发展方面</w:t>
      </w:r>
      <w:r>
        <w:rPr>
          <w:rFonts w:hint="default" w:ascii="Times New Roman" w:hAnsi="Times New Roman" w:eastAsia="方正仿宋_GBK" w:cs="Times New Roman"/>
          <w:spacing w:val="0"/>
          <w:kern w:val="2"/>
          <w:sz w:val="32"/>
          <w:szCs w:val="32"/>
          <w:lang w:val="en-US" w:eastAsia="zh-CN" w:bidi="ar"/>
        </w:rPr>
        <w:t>。推动林下中药材与康养、旅游深度融合，</w:t>
      </w:r>
      <w:r>
        <w:rPr>
          <w:rFonts w:hint="default" w:ascii="Times New Roman" w:hAnsi="Times New Roman" w:eastAsia="方正仿宋_GBK" w:cs="Times New Roman"/>
          <w:b w:val="0"/>
          <w:bCs w:val="0"/>
          <w:spacing w:val="0"/>
          <w:kern w:val="2"/>
          <w:sz w:val="32"/>
          <w:szCs w:val="32"/>
          <w:lang w:val="en-US" w:eastAsia="zh-CN" w:bidi="ar"/>
        </w:rPr>
        <w:t>在2条中医药旅游线路按季节布局中药材1万亩，其中围</w:t>
      </w:r>
      <w:r>
        <w:rPr>
          <w:rFonts w:hint="default" w:ascii="方正仿宋_GBK" w:hAnsi="方正仿宋_GBK" w:eastAsia="方正仿宋_GBK" w:cs="方正仿宋_GBK"/>
          <w:b w:val="0"/>
          <w:bCs w:val="0"/>
          <w:spacing w:val="0"/>
          <w:kern w:val="2"/>
          <w:sz w:val="32"/>
          <w:szCs w:val="32"/>
          <w:lang w:val="en-US" w:eastAsia="zh-CN" w:bidi="ar"/>
        </w:rPr>
        <w:t>绕“</w:t>
      </w:r>
      <w:r>
        <w:rPr>
          <w:rFonts w:hint="default" w:ascii="Times New Roman" w:hAnsi="Times New Roman" w:eastAsia="方正仿宋_GBK" w:cs="Times New Roman"/>
          <w:b w:val="0"/>
          <w:bCs w:val="0"/>
          <w:spacing w:val="0"/>
          <w:kern w:val="2"/>
          <w:sz w:val="32"/>
          <w:szCs w:val="32"/>
          <w:lang w:val="en-US" w:eastAsia="zh-CN" w:bidi="ar"/>
        </w:rPr>
        <w:t>178环线</w:t>
      </w:r>
      <w:r>
        <w:rPr>
          <w:rFonts w:hint="default" w:ascii="方正仿宋_GBK" w:hAnsi="方正仿宋_GBK" w:eastAsia="方正仿宋_GBK" w:cs="方正仿宋_GBK"/>
          <w:b w:val="0"/>
          <w:bCs w:val="0"/>
          <w:spacing w:val="0"/>
          <w:kern w:val="2"/>
          <w:sz w:val="32"/>
          <w:szCs w:val="32"/>
          <w:lang w:val="en-US" w:eastAsia="zh-CN" w:bidi="ar"/>
        </w:rPr>
        <w:t>”乡</w:t>
      </w:r>
      <w:r>
        <w:rPr>
          <w:rFonts w:hint="default" w:ascii="Times New Roman" w:hAnsi="Times New Roman" w:eastAsia="方正仿宋_GBK" w:cs="Times New Roman"/>
          <w:b w:val="0"/>
          <w:bCs w:val="0"/>
          <w:spacing w:val="0"/>
          <w:kern w:val="2"/>
          <w:sz w:val="32"/>
          <w:szCs w:val="32"/>
          <w:lang w:val="en-US" w:eastAsia="zh-CN" w:bidi="ar"/>
        </w:rPr>
        <w:t>镇种植玄参、黄精等8000亩，围绕山王坪、水江、三泉等乡镇种植黄连2000亩。</w:t>
      </w:r>
      <w:r>
        <w:rPr>
          <w:rFonts w:hint="default" w:ascii="Times New Roman" w:hAnsi="Times New Roman" w:eastAsia="方正仿宋_GBK" w:cs="Times New Roman"/>
          <w:spacing w:val="0"/>
          <w:kern w:val="2"/>
          <w:sz w:val="32"/>
          <w:szCs w:val="32"/>
          <w:lang w:val="en-US" w:eastAsia="zh-CN" w:bidi="ar"/>
        </w:rPr>
        <w:t>大力开发药食同源产品、中药茶饮、药膳等大健康产品，持续</w:t>
      </w:r>
      <w:r>
        <w:rPr>
          <w:rFonts w:hint="default" w:ascii="方正仿宋_GBK" w:hAnsi="方正仿宋_GBK" w:eastAsia="方正仿宋_GBK" w:cs="方正仿宋_GBK"/>
          <w:b w:val="0"/>
          <w:bCs w:val="0"/>
          <w:spacing w:val="0"/>
          <w:kern w:val="2"/>
          <w:sz w:val="32"/>
          <w:szCs w:val="32"/>
          <w:lang w:val="en-US" w:eastAsia="zh-CN" w:bidi="ar"/>
        </w:rPr>
        <w:t>培育“南川天麻”“南川玄参”等区域</w:t>
      </w:r>
      <w:r>
        <w:rPr>
          <w:rFonts w:hint="default" w:ascii="Times New Roman" w:hAnsi="Times New Roman" w:eastAsia="方正仿宋_GBK" w:cs="Times New Roman"/>
          <w:spacing w:val="0"/>
          <w:kern w:val="2"/>
          <w:sz w:val="32"/>
          <w:szCs w:val="32"/>
          <w:lang w:val="en-US" w:eastAsia="zh-CN" w:bidi="ar"/>
        </w:rPr>
        <w:t>公用品牌，提升我区中药材市场品牌影响力。</w:t>
      </w:r>
      <w:bookmarkStart w:id="0" w:name="_GoBack"/>
      <w:bookmarkEnd w:id="0"/>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26" w:firstLineChars="20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黑体_GBK" w:cs="Times New Roman"/>
          <w:spacing w:val="0"/>
          <w:w w:val="98"/>
          <w:kern w:val="0"/>
          <w:sz w:val="32"/>
          <w:szCs w:val="32"/>
          <w:fitText w:val="8480" w:id="279528922"/>
          <w:lang w:val="en-US" w:eastAsia="zh-CN" w:bidi="ar"/>
        </w:rPr>
        <w:t>四、关</w:t>
      </w:r>
      <w:r>
        <w:rPr>
          <w:rFonts w:hint="default" w:ascii="方正仿宋_GBK" w:hAnsi="方正仿宋_GBK" w:eastAsia="方正仿宋_GBK" w:cs="方正仿宋_GBK"/>
          <w:b/>
          <w:bCs/>
          <w:spacing w:val="0"/>
          <w:w w:val="98"/>
          <w:kern w:val="0"/>
          <w:sz w:val="32"/>
          <w:szCs w:val="32"/>
          <w:fitText w:val="8480" w:id="279528922"/>
          <w:lang w:val="en-US" w:eastAsia="zh-CN" w:bidi="ar"/>
        </w:rPr>
        <w:t>于“完善政策保障，优化林下中药材发展环境”的建</w:t>
      </w:r>
      <w:r>
        <w:rPr>
          <w:rFonts w:hint="default" w:ascii="Times New Roman" w:hAnsi="Times New Roman" w:eastAsia="方正黑体_GBK" w:cs="Times New Roman"/>
          <w:spacing w:val="-17"/>
          <w:w w:val="98"/>
          <w:kern w:val="0"/>
          <w:sz w:val="32"/>
          <w:szCs w:val="32"/>
          <w:fitText w:val="8480" w:id="279528922"/>
          <w:lang w:val="en-US" w:eastAsia="zh-CN" w:bidi="ar"/>
        </w:rPr>
        <w:t>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b/>
          <w:bCs/>
          <w:spacing w:val="0"/>
          <w:kern w:val="0"/>
          <w:sz w:val="32"/>
          <w:szCs w:val="32"/>
          <w:lang w:val="en-US" w:eastAsia="zh-CN" w:bidi="ar"/>
        </w:rPr>
        <w:t>一是林下空间使用方面。</w:t>
      </w:r>
      <w:r>
        <w:rPr>
          <w:rFonts w:hint="default" w:ascii="Times New Roman" w:hAnsi="Times New Roman" w:eastAsia="方正仿宋_GBK" w:cs="Times New Roman"/>
          <w:b w:val="0"/>
          <w:bCs w:val="0"/>
          <w:spacing w:val="0"/>
          <w:kern w:val="0"/>
          <w:sz w:val="32"/>
          <w:szCs w:val="32"/>
          <w:lang w:val="en-US" w:eastAsia="zh-CN" w:bidi="ar"/>
        </w:rPr>
        <w:t>严格落实国家、市级关于林地资源利用相关政策，结合按照《全国林下经济发展指南》相关要求，将发展林下经济使用林地分为优先利用林地、限制利用林地和禁止利用林地三类，严格区分林地利用区域。优先利用人工商品林地发展林下经济，发展林下经济应在维持森林生态系统健康稳定的前提下，适度规模化、集约化开展林下经济活动。</w:t>
      </w:r>
      <w:r>
        <w:rPr>
          <w:rFonts w:hint="default" w:ascii="Times New Roman" w:hAnsi="Times New Roman" w:eastAsia="方正仿宋_GBK" w:cs="Times New Roman"/>
          <w:spacing w:val="0"/>
          <w:kern w:val="2"/>
          <w:sz w:val="32"/>
          <w:szCs w:val="32"/>
          <w:lang w:val="en-US" w:eastAsia="zh-CN" w:bidi="ar"/>
        </w:rPr>
        <w:t>因林下种植尚未无明确的审批政策，原则支持在不改变林地性质、不破坏森林植被、不影响林木生长的前提下，适度发展林下中药材种植等业态。</w:t>
      </w:r>
      <w:r>
        <w:rPr>
          <w:rFonts w:hint="default" w:ascii="Times New Roman" w:hAnsi="Times New Roman" w:eastAsia="方正仿宋_GBK" w:cs="Times New Roman"/>
          <w:b w:val="0"/>
          <w:bCs w:val="0"/>
          <w:spacing w:val="0"/>
          <w:kern w:val="2"/>
          <w:sz w:val="32"/>
          <w:szCs w:val="32"/>
          <w:lang w:val="en-US" w:eastAsia="zh-CN" w:bidi="ar"/>
        </w:rPr>
        <w:t>同时，</w:t>
      </w:r>
      <w:r>
        <w:rPr>
          <w:rFonts w:hint="default" w:ascii="Times New Roman" w:hAnsi="Times New Roman" w:eastAsia="方正仿宋_GBK" w:cs="Times New Roman"/>
          <w:spacing w:val="0"/>
          <w:kern w:val="2"/>
          <w:sz w:val="32"/>
          <w:szCs w:val="32"/>
          <w:lang w:val="en-US" w:eastAsia="zh-CN" w:bidi="ar"/>
        </w:rPr>
        <w:t>为提升林地生产要素科学配置，我局正在按照《重庆市林业局关于印发重庆市林业标准地建设指引（试行）》（渝林改〔2025〕8号）要求，向各个乡镇（街道）收集林业标准地建设需求，确保林地使用规范。此外，生产经营者确需在林地中建设管护用房、仓储设施等基础设施，我局将按照林地用途管制要求，做好林地使用审批服务工作。</w:t>
      </w:r>
      <w:r>
        <w:rPr>
          <w:rFonts w:hint="default" w:ascii="Times New Roman" w:hAnsi="Times New Roman" w:eastAsia="方正仿宋_GBK" w:cs="Times New Roman"/>
          <w:b/>
          <w:bCs/>
          <w:spacing w:val="0"/>
          <w:kern w:val="2"/>
          <w:sz w:val="32"/>
          <w:szCs w:val="32"/>
          <w:lang w:val="en-US" w:eastAsia="zh-CN" w:bidi="ar"/>
        </w:rPr>
        <w:t>二是在政策支持方面。</w:t>
      </w:r>
      <w:r>
        <w:rPr>
          <w:rFonts w:hint="default" w:ascii="Times New Roman" w:hAnsi="Times New Roman" w:eastAsia="方正仿宋_GBK" w:cs="Times New Roman"/>
          <w:b w:val="0"/>
          <w:bCs w:val="0"/>
          <w:spacing w:val="0"/>
          <w:kern w:val="2"/>
          <w:sz w:val="32"/>
          <w:szCs w:val="32"/>
          <w:lang w:val="en-US" w:eastAsia="zh-CN" w:bidi="ar"/>
        </w:rPr>
        <w:t>我区作为国家中医药传承创新发展试验区，印发《南川区中医药传承创新发展试验区建设方案》，明确了建设任务及职责分工，制定了农业品牌发展补助办法、中药材种植贷款贴息补助和将部分中药材</w:t>
      </w:r>
      <w:r>
        <w:rPr>
          <w:rFonts w:hint="default" w:ascii="Times New Roman" w:hAnsi="Times New Roman" w:eastAsia="方正仿宋_GBK" w:cs="Times New Roman"/>
          <w:spacing w:val="0"/>
          <w:kern w:val="2"/>
          <w:sz w:val="32"/>
          <w:szCs w:val="32"/>
          <w:lang w:val="en-US" w:eastAsia="zh-CN" w:bidi="ar"/>
        </w:rPr>
        <w:t>纳入政策性农业保险，激发药农种植热情，有效分散农户种植风险，为产业健康发展保驾护航。同时，利用乡村振兴衔接资金和林业改革发展资金在国有林场打造淫羊藿、金荞麦、淡竹叶等林下中药材基地300亩，示范带动周边林农适度规模经营。鼓励金融机构拓展业务范围，加大对林业发展的信贷支持，累计指导完成涉林抵押贷款4笔，发放贷款总额1990万元，为林业经营注入了</w:t>
      </w:r>
      <w:r>
        <w:rPr>
          <w:rFonts w:hint="default" w:ascii="方正仿宋_GBK" w:hAnsi="方正仿宋_GBK" w:eastAsia="方正仿宋_GBK" w:cs="方正仿宋_GBK"/>
          <w:b w:val="0"/>
          <w:bCs w:val="0"/>
          <w:spacing w:val="0"/>
          <w:kern w:val="2"/>
          <w:sz w:val="32"/>
          <w:szCs w:val="32"/>
          <w:lang w:val="en-US" w:eastAsia="zh-CN" w:bidi="ar"/>
        </w:rPr>
        <w:t>金融“活水”。</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spacing w:val="0"/>
          <w:kern w:val="2"/>
          <w:sz w:val="32"/>
          <w:szCs w:val="32"/>
        </w:rPr>
      </w:pPr>
      <w:r>
        <w:rPr>
          <w:rFonts w:hint="default" w:ascii="Times New Roman" w:hAnsi="Times New Roman" w:eastAsia="方正黑体_GBK" w:cs="Times New Roman"/>
          <w:spacing w:val="0"/>
          <w:kern w:val="2"/>
          <w:sz w:val="32"/>
          <w:szCs w:val="32"/>
          <w:lang w:val="en-US" w:eastAsia="zh-CN" w:bidi="ar"/>
        </w:rPr>
        <w:t>五、关</w:t>
      </w:r>
      <w:r>
        <w:rPr>
          <w:rFonts w:hint="default" w:ascii="方正仿宋_GBK" w:hAnsi="方正仿宋_GBK" w:eastAsia="方正仿宋_GBK" w:cs="方正仿宋_GBK"/>
          <w:b/>
          <w:bCs/>
          <w:spacing w:val="0"/>
          <w:kern w:val="2"/>
          <w:sz w:val="32"/>
          <w:szCs w:val="32"/>
          <w:lang w:val="en-US" w:eastAsia="zh-CN" w:bidi="ar"/>
        </w:rPr>
        <w:t>于“健全联农带农机制，促进林农持续增收”的</w:t>
      </w:r>
      <w:r>
        <w:rPr>
          <w:rFonts w:hint="default" w:ascii="Times New Roman" w:hAnsi="Times New Roman" w:eastAsia="方正黑体_GBK" w:cs="Times New Roman"/>
          <w:spacing w:val="0"/>
          <w:kern w:val="2"/>
          <w:sz w:val="32"/>
          <w:szCs w:val="32"/>
          <w:lang w:val="en-US" w:eastAsia="zh-CN" w:bidi="ar"/>
        </w:rPr>
        <w:t>建议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3" w:firstLineChars="200"/>
        <w:jc w:val="both"/>
        <w:textAlignment w:val="auto"/>
        <w:rPr>
          <w:rFonts w:hint="default" w:ascii="Times New Roman" w:hAnsi="Times New Roman" w:eastAsia="方正仿宋_GBK" w:cs="Times New Roman"/>
          <w:spacing w:val="0"/>
          <w:kern w:val="2"/>
          <w:sz w:val="32"/>
          <w:szCs w:val="32"/>
        </w:rPr>
      </w:pPr>
      <w:r>
        <w:rPr>
          <w:rFonts w:hint="default" w:ascii="Times New Roman" w:hAnsi="Times New Roman" w:eastAsia="方正仿宋_GBK" w:cs="Times New Roman"/>
          <w:b/>
          <w:bCs/>
          <w:spacing w:val="0"/>
          <w:kern w:val="2"/>
          <w:sz w:val="32"/>
          <w:szCs w:val="32"/>
          <w:lang w:val="en-US" w:eastAsia="zh-CN" w:bidi="ar"/>
        </w:rPr>
        <w:t>一是在健全联农带农方面。</w:t>
      </w:r>
      <w:r>
        <w:rPr>
          <w:rFonts w:hint="default" w:ascii="Times New Roman" w:hAnsi="Times New Roman" w:eastAsia="方正仿宋_GBK" w:cs="Times New Roman"/>
          <w:b w:val="0"/>
          <w:bCs w:val="0"/>
          <w:i w:val="0"/>
          <w:iCs w:val="0"/>
          <w:caps w:val="0"/>
          <w:spacing w:val="0"/>
          <w:kern w:val="2"/>
          <w:sz w:val="32"/>
          <w:szCs w:val="32"/>
          <w:shd w:val="clear" w:fill="FFFFFF"/>
          <w:lang w:val="en-US" w:eastAsia="zh-CN" w:bidi="ar"/>
        </w:rPr>
        <w:t>健全多元化利益联结，以国家储备林建设</w:t>
      </w:r>
      <w:r>
        <w:rPr>
          <w:rFonts w:hint="default" w:ascii="Times New Roman" w:hAnsi="Times New Roman" w:eastAsia="方正仿宋_GBK" w:cs="Times New Roman"/>
          <w:b w:val="0"/>
          <w:bCs w:val="0"/>
          <w:spacing w:val="0"/>
          <w:kern w:val="2"/>
          <w:sz w:val="32"/>
          <w:szCs w:val="32"/>
          <w:lang w:val="en-US" w:eastAsia="zh-CN" w:bidi="ar"/>
        </w:rPr>
        <w:t>为契机，</w:t>
      </w:r>
      <w:r>
        <w:rPr>
          <w:rFonts w:hint="default" w:ascii="方正仿宋_GBK" w:hAnsi="方正仿宋_GBK" w:eastAsia="方正仿宋_GBK" w:cs="方正仿宋_GBK"/>
          <w:b w:val="0"/>
          <w:bCs w:val="0"/>
          <w:spacing w:val="0"/>
          <w:kern w:val="2"/>
          <w:sz w:val="32"/>
          <w:szCs w:val="32"/>
          <w:lang w:val="en-US" w:eastAsia="zh-CN" w:bidi="ar"/>
        </w:rPr>
        <w:t>探索“国企+村集体+林农”模</w:t>
      </w:r>
      <w:r>
        <w:rPr>
          <w:rFonts w:hint="default" w:ascii="Times New Roman" w:hAnsi="Times New Roman" w:eastAsia="方正仿宋_GBK" w:cs="Times New Roman"/>
          <w:b w:val="0"/>
          <w:bCs w:val="0"/>
          <w:spacing w:val="0"/>
          <w:kern w:val="2"/>
          <w:sz w:val="32"/>
          <w:szCs w:val="32"/>
          <w:lang w:val="en-US" w:eastAsia="zh-CN" w:bidi="ar"/>
        </w:rPr>
        <w:t>式，建立“保底收益+务工收入+利润分红”利益分配机制，市林投</w:t>
      </w:r>
      <w:r>
        <w:rPr>
          <w:rFonts w:hint="default" w:ascii="Times New Roman" w:hAnsi="Times New Roman" w:eastAsia="方正仿宋_GBK" w:cs="Times New Roman"/>
          <w:spacing w:val="0"/>
          <w:kern w:val="2"/>
          <w:sz w:val="32"/>
          <w:szCs w:val="32"/>
          <w:lang w:val="en-US" w:eastAsia="zh-CN" w:bidi="ar"/>
        </w:rPr>
        <w:t>公司按照每年每亩50元的标准，向村集体经济组织和村民支付流转费用。目前，全区累计收储集体林地31万亩、办理林地经营权证6.39万余亩。实现国有企业投资增效、村集体分红增值、大户经营增产</w:t>
      </w:r>
      <w:r>
        <w:rPr>
          <w:rFonts w:hint="default" w:ascii="Times New Roman" w:hAnsi="Times New Roman" w:eastAsia="仿宋_GB2312" w:cs="Times New Roman"/>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林农务工增收。</w:t>
      </w:r>
      <w:r>
        <w:rPr>
          <w:rFonts w:hint="default" w:ascii="Times New Roman" w:hAnsi="Times New Roman" w:eastAsia="仿宋_GB2312" w:cs="Times New Roman"/>
          <w:spacing w:val="0"/>
          <w:kern w:val="2"/>
          <w:sz w:val="32"/>
          <w:szCs w:val="32"/>
          <w:lang w:val="en-US" w:eastAsia="zh-CN" w:bidi="ar"/>
        </w:rPr>
        <w:t>如储备林</w:t>
      </w:r>
      <w:r>
        <w:rPr>
          <w:rFonts w:hint="default" w:ascii="Times New Roman" w:hAnsi="Times New Roman" w:eastAsia="方正仿宋_GBK" w:cs="Times New Roman"/>
          <w:spacing w:val="0"/>
          <w:kern w:val="2"/>
          <w:sz w:val="32"/>
          <w:szCs w:val="32"/>
          <w:lang w:val="en-US" w:eastAsia="zh-CN" w:bidi="ar"/>
        </w:rPr>
        <w:t>项目区林农每年获得林地流转费1395万元，村集体获得项目管理费155万元。</w:t>
      </w:r>
      <w:r>
        <w:rPr>
          <w:rFonts w:hint="default" w:ascii="Times New Roman" w:hAnsi="Times New Roman" w:eastAsia="方正仿宋_GBK" w:cs="Times New Roman"/>
          <w:b/>
          <w:bCs/>
          <w:spacing w:val="0"/>
          <w:kern w:val="2"/>
          <w:sz w:val="32"/>
          <w:szCs w:val="32"/>
          <w:lang w:val="en-US" w:eastAsia="zh-CN" w:bidi="ar"/>
        </w:rPr>
        <w:t>二是在推</w:t>
      </w:r>
      <w:r>
        <w:rPr>
          <w:rFonts w:hint="eastAsia" w:ascii="方正仿宋_GBK" w:hAnsi="方正仿宋_GBK" w:eastAsia="方正仿宋_GBK" w:cs="方正仿宋_GBK"/>
          <w:b/>
          <w:bCs/>
          <w:spacing w:val="0"/>
          <w:kern w:val="2"/>
          <w:sz w:val="32"/>
          <w:szCs w:val="32"/>
          <w:lang w:val="en-US" w:eastAsia="zh-CN" w:bidi="ar"/>
        </w:rPr>
        <w:t>广“国储林+”模式</w:t>
      </w:r>
      <w:r>
        <w:rPr>
          <w:rFonts w:hint="default" w:ascii="Times New Roman" w:hAnsi="Times New Roman" w:eastAsia="方正仿宋_GBK" w:cs="Times New Roman"/>
          <w:b/>
          <w:bCs/>
          <w:spacing w:val="0"/>
          <w:kern w:val="2"/>
          <w:sz w:val="32"/>
          <w:szCs w:val="32"/>
          <w:lang w:val="en-US" w:eastAsia="zh-CN" w:bidi="ar"/>
        </w:rPr>
        <w:t>方面。</w:t>
      </w:r>
      <w:r>
        <w:rPr>
          <w:rFonts w:hint="default" w:ascii="Times New Roman" w:hAnsi="Times New Roman" w:eastAsia="方正仿宋_GBK" w:cs="Times New Roman"/>
          <w:spacing w:val="0"/>
          <w:kern w:val="2"/>
          <w:sz w:val="32"/>
          <w:szCs w:val="32"/>
          <w:lang w:val="en-US" w:eastAsia="zh-CN" w:bidi="ar"/>
        </w:rPr>
        <w:t>我区国家储备林规划中拟发展林下经济3万亩，市林投公司按照工作进度，正在探索</w:t>
      </w:r>
      <w:r>
        <w:rPr>
          <w:rFonts w:hint="default" w:ascii="方正仿宋_GBK" w:hAnsi="方正仿宋_GBK" w:eastAsia="方正仿宋_GBK" w:cs="方正仿宋_GBK"/>
          <w:b w:val="0"/>
          <w:bCs w:val="0"/>
          <w:spacing w:val="0"/>
          <w:kern w:val="2"/>
          <w:sz w:val="32"/>
          <w:szCs w:val="32"/>
          <w:lang w:val="en-US" w:eastAsia="zh-CN" w:bidi="ar"/>
        </w:rPr>
        <w:t>实施“国储林+森林经营”“国储林+林下经济”模式，我局也将加强工</w:t>
      </w:r>
      <w:r>
        <w:rPr>
          <w:rFonts w:hint="default" w:ascii="Times New Roman" w:hAnsi="Times New Roman" w:eastAsia="方正仿宋_GBK" w:cs="Times New Roman"/>
          <w:b w:val="0"/>
          <w:bCs w:val="0"/>
          <w:spacing w:val="0"/>
          <w:kern w:val="2"/>
          <w:sz w:val="32"/>
          <w:szCs w:val="32"/>
          <w:lang w:val="en-US" w:eastAsia="zh-CN" w:bidi="ar"/>
        </w:rPr>
        <w:t>作指导和做好用地审批服务工作，全力支持其在流转的林下发展中药材，</w:t>
      </w:r>
      <w:r>
        <w:rPr>
          <w:rFonts w:hint="default" w:ascii="Times New Roman" w:hAnsi="Times New Roman" w:eastAsia="方正仿宋_GBK" w:cs="Times New Roman"/>
          <w:spacing w:val="0"/>
          <w:kern w:val="2"/>
          <w:sz w:val="32"/>
          <w:szCs w:val="32"/>
          <w:lang w:val="en-US" w:eastAsia="zh-CN" w:bidi="ar"/>
        </w:rPr>
        <w:t>为乡村振兴、群众增收作出林业贡献。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pacing w:val="0"/>
          <w:kern w:val="2"/>
          <w:sz w:val="32"/>
          <w:szCs w:val="32"/>
          <w:lang w:val="en-US" w:eastAsia="zh-CN" w:bidi="ar"/>
        </w:rPr>
      </w:pPr>
      <w:r>
        <w:rPr>
          <w:rFonts w:hint="default" w:ascii="Times New Roman" w:hAnsi="Times New Roman" w:eastAsia="方正仿宋_GBK" w:cs="Times New Roman"/>
          <w:spacing w:val="0"/>
          <w:kern w:val="2"/>
          <w:sz w:val="32"/>
          <w:szCs w:val="32"/>
          <w:lang w:val="en-US" w:eastAsia="zh-CN" w:bidi="ar"/>
        </w:rPr>
        <w:t>此答复函已经王彬局长审签。对以上答复您有什么意见，请及时通过人大代表全渝通应用代表议案建议场景进行评价。</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方正仿宋_GBK" w:cs="Times New Roman"/>
          <w:spacing w:val="0"/>
          <w:kern w:val="2"/>
          <w:sz w:val="32"/>
          <w:szCs w:val="32"/>
          <w:lang w:val="en-US" w:eastAsia="zh-CN" w:bidi="ar"/>
        </w:rPr>
        <w:t>（联系人：吴齐昊</w:t>
      </w:r>
      <w:r>
        <w:rPr>
          <w:rFonts w:hint="default" w:ascii="Times New Roman" w:hAnsi="Times New Roman" w:cs="Times New Roman"/>
          <w:spacing w:val="0"/>
          <w:kern w:val="2"/>
          <w:sz w:val="32"/>
          <w:szCs w:val="32"/>
          <w:lang w:val="en-US" w:eastAsia="zh-CN" w:bidi="ar"/>
        </w:rPr>
        <w:t>；</w:t>
      </w:r>
      <w:r>
        <w:rPr>
          <w:rFonts w:hint="default" w:ascii="Times New Roman" w:hAnsi="Times New Roman" w:eastAsia="方正仿宋_GBK" w:cs="Times New Roman"/>
          <w:spacing w:val="0"/>
          <w:kern w:val="2"/>
          <w:sz w:val="32"/>
          <w:szCs w:val="32"/>
          <w:lang w:val="en-US" w:eastAsia="zh-CN" w:bidi="ar"/>
        </w:rPr>
        <w:t>联系电话：19923367527）</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960" w:firstLineChars="1550"/>
        <w:jc w:val="both"/>
        <w:textAlignment w:val="auto"/>
        <w:rPr>
          <w:rFonts w:hint="default" w:ascii="Times New Roman" w:hAnsi="Times New Roman" w:eastAsia="方正仿宋_GBK" w:cs="Times New Roman"/>
          <w:spacing w:val="0"/>
          <w:kern w:val="2"/>
          <w:sz w:val="32"/>
          <w:szCs w:val="32"/>
          <w:lang w:val="en-US" w:eastAsia="zh-CN" w:bidi="ar"/>
        </w:rPr>
      </w:pPr>
      <w:r>
        <w:rPr>
          <w:rFonts w:hint="default" w:ascii="Times New Roman" w:hAnsi="Times New Roman" w:eastAsia="方正仿宋_GBK" w:cs="Times New Roman"/>
          <w:spacing w:val="0"/>
          <w:kern w:val="2"/>
          <w:sz w:val="32"/>
          <w:szCs w:val="32"/>
          <w:lang w:val="en-US" w:eastAsia="zh-CN" w:bidi="ar"/>
        </w:rPr>
        <w:t xml:space="preserve"> </w:t>
      </w:r>
    </w:p>
    <w:p>
      <w:pPr>
        <w:pStyle w:val="2"/>
        <w:keepNext w:val="0"/>
        <w:keepLines w:val="0"/>
        <w:pageBreakBefore w:val="0"/>
        <w:widowControl w:val="0"/>
        <w:kinsoku/>
        <w:wordWrap/>
        <w:overflowPunct/>
        <w:topLinePunct w:val="0"/>
        <w:autoSpaceDE w:val="0"/>
        <w:bidi w:val="0"/>
        <w:snapToGrid/>
        <w:spacing w:line="560" w:lineRule="exact"/>
        <w:textAlignment w:val="auto"/>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800" w:firstLineChars="15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重庆市南川区林业局</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5120" w:firstLineChars="16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2026年</w:t>
      </w:r>
      <w:r>
        <w:rPr>
          <w:rFonts w:hint="default" w:ascii="Times New Roman" w:hAnsi="Times New Roman" w:cs="Times New Roman"/>
          <w:kern w:val="2"/>
          <w:sz w:val="32"/>
          <w:szCs w:val="32"/>
          <w:lang w:val="en-US" w:eastAsia="zh-CN" w:bidi="ar"/>
        </w:rPr>
        <w:t>5</w:t>
      </w:r>
      <w:r>
        <w:rPr>
          <w:rFonts w:hint="default" w:ascii="Times New Roman" w:hAnsi="Times New Roman" w:eastAsia="方正仿宋_GBK" w:cs="Times New Roman"/>
          <w:kern w:val="2"/>
          <w:sz w:val="32"/>
          <w:szCs w:val="32"/>
          <w:lang w:val="en-US" w:eastAsia="zh-CN" w:bidi="ar"/>
        </w:rPr>
        <w:t>月1</w:t>
      </w:r>
      <w:r>
        <w:rPr>
          <w:rFonts w:hint="default" w:ascii="Times New Roman" w:hAnsi="Times New Roman" w:cs="Times New Roman"/>
          <w:kern w:val="2"/>
          <w:sz w:val="32"/>
          <w:szCs w:val="32"/>
          <w:lang w:val="en-US" w:eastAsia="zh-CN" w:bidi="ar"/>
        </w:rPr>
        <w:t>3</w:t>
      </w:r>
      <w:r>
        <w:rPr>
          <w:rFonts w:hint="default" w:ascii="Times New Roman" w:hAnsi="Times New Roman" w:eastAsia="方正仿宋_GBK" w:cs="Times New Roman"/>
          <w:kern w:val="2"/>
          <w:sz w:val="32"/>
          <w:szCs w:val="32"/>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（此件公开发布）</w:t>
      </w:r>
    </w:p>
    <w:p>
      <w:pPr>
        <w:pStyle w:val="2"/>
        <w:rPr>
          <w:rFonts w:hint="default" w:ascii="Times New Roman" w:hAnsi="Times New Roman" w:eastAsia="方正仿宋_GBK" w:cs="Times New Roman"/>
          <w:kern w:val="2"/>
          <w:sz w:val="32"/>
          <w:szCs w:val="32"/>
          <w:lang w:val="en-US" w:eastAsia="zh-CN" w:bidi="ar"/>
        </w:rPr>
      </w:pPr>
    </w:p>
    <w:p>
      <w:pPr>
        <w:pStyle w:val="2"/>
        <w:rPr>
          <w:rFonts w:hint="default" w:ascii="Times New Roman" w:hAnsi="Times New Roman" w:eastAsia="方正仿宋_GBK" w:cs="Times New Roman"/>
          <w:kern w:val="2"/>
          <w:sz w:val="32"/>
          <w:szCs w:val="32"/>
          <w:lang w:val="en-US" w:eastAsia="zh-CN" w:bidi="ar"/>
        </w:rPr>
      </w:pPr>
    </w:p>
    <w:p>
      <w:pPr>
        <w:pStyle w:val="9"/>
        <w:autoSpaceDE w:val="0"/>
        <w:snapToGrid w:val="0"/>
        <w:spacing w:beforeAutospacing="0" w:afterAutospacing="0" w:line="594" w:lineRule="exact"/>
        <w:jc w:val="both"/>
        <w:rPr>
          <w:rFonts w:hint="default" w:ascii="Times New Roman" w:hAnsi="Times New Roman" w:cs="Times New Roman"/>
          <w:kern w:val="2"/>
          <w:sz w:val="32"/>
          <w:szCs w:val="32"/>
        </w:rPr>
      </w:pPr>
    </w:p>
    <w:p>
      <w:pPr>
        <w:spacing w:line="560" w:lineRule="exact"/>
        <w:ind w:firstLine="320" w:firstLineChars="100"/>
        <w:rPr>
          <w:rFonts w:hint="default" w:ascii="Times New Roman" w:hAnsi="Times New Roman" w:eastAsia="方正仿宋_GBK" w:cs="Times New Roman"/>
          <w:lang w:eastAsia="zh-CN"/>
        </w:rPr>
      </w:pPr>
      <w:r>
        <w:rPr>
          <w:rFonts w:hint="default" w:ascii="Times New Roman" w:hAnsi="Times New Roman" w:cs="Times New Roman"/>
          <w:szCs w:val="32"/>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443865</wp:posOffset>
                </wp:positionV>
                <wp:extent cx="5581650" cy="9525"/>
                <wp:effectExtent l="0" t="28575" r="0" b="38100"/>
                <wp:wrapNone/>
                <wp:docPr id="6" name="直接连接符 6"/>
                <wp:cNvGraphicFramePr/>
                <a:graphic xmlns:a="http://schemas.openxmlformats.org/drawingml/2006/main">
                  <a:graphicData uri="http://schemas.microsoft.com/office/word/2010/wordprocessingShape">
                    <wps:wsp>
                      <wps:cNvCnPr/>
                      <wps:spPr>
                        <a:xfrm>
                          <a:off x="0" y="0"/>
                          <a:ext cx="5581650" cy="9525"/>
                        </a:xfrm>
                        <a:prstGeom prst="line">
                          <a:avLst/>
                        </a:prstGeom>
                        <a:ln w="57150" cap="flat" cmpd="thinThick">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34.95pt;height:0.75pt;width:439.5pt;z-index:251661312;mso-width-relative:page;mso-height-relative:page;" filled="f" stroked="t" coordsize="21600,21600" o:gfxdata="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hPGJNQAAAAHAQAADwAAAAAAAAABACAAAAAiAAAAZHJzL2Rvd25yZXYueG1sUEsB&#10;AhQAFAAAAAgAh07iQK7Fgxf5AQAA8AMAAA4AAAAAAAAAAQAgAAAAIwEAAGRycy9lMm9Eb2MueG1s&#10;UEsFBgAAAAAGAAYAWQEAAI4FAAAAAA==&#10;">
                <v:fill on="f" focussize="0,0"/>
                <v:stroke weight="4.5pt" color="#FF0000" linestyle="thinThick" joinstyle="round"/>
                <v:imagedata o:title=""/>
                <o:lock v:ext="edit" aspectratio="f"/>
              </v:line>
            </w:pict>
          </mc:Fallback>
        </mc:AlternateContent>
      </w:r>
      <w:r>
        <w:rPr>
          <w:rFonts w:hint="default" w:ascii="Times New Roman" w:hAnsi="Times New Roman" w:cs="Times New Roman"/>
          <w:szCs w:val="32"/>
        </w:rPr>
        <w:t>抄送：区人大常委会代表工委、区政府办公室</w:t>
      </w:r>
      <w:r>
        <w:rPr>
          <w:rFonts w:hint="default" w:ascii="Times New Roman" w:hAnsi="Times New Roman" w:cs="Times New Roman"/>
          <w:szCs w:val="32"/>
          <w:lang w:eastAsia="zh-CN"/>
        </w:rPr>
        <w:t>。</w:t>
      </w:r>
    </w:p>
    <w:sectPr>
      <w:footerReference r:id="rId3" w:type="default"/>
      <w:pgSz w:w="11906" w:h="16838"/>
      <w:pgMar w:top="1984"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2JiZTI1ZmUxOTY4ODFiZDc5MTkyN2E3YmY0NjkifQ=="/>
  </w:docVars>
  <w:rsids>
    <w:rsidRoot w:val="32000355"/>
    <w:rsid w:val="001361BC"/>
    <w:rsid w:val="003812C7"/>
    <w:rsid w:val="004A3A12"/>
    <w:rsid w:val="00556E14"/>
    <w:rsid w:val="007814F3"/>
    <w:rsid w:val="00C867E1"/>
    <w:rsid w:val="07055961"/>
    <w:rsid w:val="0AA0184F"/>
    <w:rsid w:val="0E192091"/>
    <w:rsid w:val="0FBF7DDF"/>
    <w:rsid w:val="14405160"/>
    <w:rsid w:val="1BDF7DD9"/>
    <w:rsid w:val="20497A79"/>
    <w:rsid w:val="205B18BB"/>
    <w:rsid w:val="25891DA0"/>
    <w:rsid w:val="26E64DA3"/>
    <w:rsid w:val="27F538BD"/>
    <w:rsid w:val="2FF92B68"/>
    <w:rsid w:val="32000355"/>
    <w:rsid w:val="35FFDB3D"/>
    <w:rsid w:val="3BDF1F02"/>
    <w:rsid w:val="3ED76A69"/>
    <w:rsid w:val="492F3743"/>
    <w:rsid w:val="4BB92DEC"/>
    <w:rsid w:val="54FD0301"/>
    <w:rsid w:val="59136CD3"/>
    <w:rsid w:val="5BE135D9"/>
    <w:rsid w:val="5D7F228E"/>
    <w:rsid w:val="5E3F94EB"/>
    <w:rsid w:val="67FBEEE2"/>
    <w:rsid w:val="6DFF0C8C"/>
    <w:rsid w:val="6EF63042"/>
    <w:rsid w:val="6F774C17"/>
    <w:rsid w:val="71F3E22C"/>
    <w:rsid w:val="73CC3709"/>
    <w:rsid w:val="75AF88A4"/>
    <w:rsid w:val="771775EC"/>
    <w:rsid w:val="77A57521"/>
    <w:rsid w:val="77BF24A5"/>
    <w:rsid w:val="79CF0673"/>
    <w:rsid w:val="7DFF71A7"/>
    <w:rsid w:val="7F7F93C2"/>
    <w:rsid w:val="7F918238"/>
    <w:rsid w:val="7FBD2547"/>
    <w:rsid w:val="7FFF85C4"/>
    <w:rsid w:val="8AFF8379"/>
    <w:rsid w:val="9DEE5657"/>
    <w:rsid w:val="9FDEF1A0"/>
    <w:rsid w:val="AF472A1B"/>
    <w:rsid w:val="B7BF623F"/>
    <w:rsid w:val="BFBFCEB5"/>
    <w:rsid w:val="C7BBA23F"/>
    <w:rsid w:val="DCB76137"/>
    <w:rsid w:val="E7D3F2E0"/>
    <w:rsid w:val="EC78B1AF"/>
    <w:rsid w:val="EDF864F7"/>
    <w:rsid w:val="EEFF08FC"/>
    <w:rsid w:val="EF57270B"/>
    <w:rsid w:val="EF7BE731"/>
    <w:rsid w:val="F76F3414"/>
    <w:rsid w:val="F8FF996D"/>
    <w:rsid w:val="FDBBE3E9"/>
    <w:rsid w:val="FDEF3335"/>
    <w:rsid w:val="FEF7F285"/>
    <w:rsid w:val="FEFC978B"/>
    <w:rsid w:val="FF638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0"/>
    <w:pPr>
      <w:ind w:left="120"/>
    </w:pPr>
    <w:rPr>
      <w:rFonts w:ascii="宋体" w:cs="宋体"/>
      <w:sz w:val="21"/>
      <w:szCs w:val="21"/>
    </w:rPr>
  </w:style>
  <w:style w:type="paragraph" w:styleId="5">
    <w:name w:val="Date"/>
    <w:basedOn w:val="1"/>
    <w:next w:val="1"/>
    <w:link w:val="13"/>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napToGrid w:val="0"/>
      <w:spacing w:line="540" w:lineRule="exact"/>
    </w:pPr>
    <w:rPr>
      <w:color w:val="000000"/>
    </w:rPr>
  </w:style>
  <w:style w:type="paragraph" w:styleId="9">
    <w:name w:val="Normal (Web)"/>
    <w:basedOn w:val="1"/>
    <w:qFormat/>
    <w:uiPriority w:val="0"/>
    <w:pPr>
      <w:spacing w:beforeAutospacing="1" w:afterAutospacing="1"/>
      <w:jc w:val="left"/>
    </w:pPr>
    <w:rPr>
      <w:kern w:val="0"/>
      <w:sz w:val="24"/>
      <w:szCs w:val="24"/>
    </w:rPr>
  </w:style>
  <w:style w:type="paragraph" w:customStyle="1" w:styleId="12">
    <w:name w:val="Body Text 2_e3f6d5bb-2ab5-4775-8219-163e198f170b"/>
    <w:basedOn w:val="1"/>
    <w:qFormat/>
    <w:uiPriority w:val="0"/>
    <w:pPr>
      <w:snapToGrid w:val="0"/>
      <w:spacing w:line="540" w:lineRule="exact"/>
    </w:pPr>
    <w:rPr>
      <w:color w:val="000000"/>
      <w:szCs w:val="32"/>
    </w:rPr>
  </w:style>
  <w:style w:type="character" w:customStyle="1" w:styleId="13">
    <w:name w:val="日期 Char"/>
    <w:basedOn w:val="11"/>
    <w:link w:val="5"/>
    <w:qFormat/>
    <w:uiPriority w:val="0"/>
    <w:rPr>
      <w:rFonts w:eastAsia="方正仿宋_GBK"/>
      <w:kern w:val="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279</Words>
  <Characters>1593</Characters>
  <Lines>1</Lines>
  <Paragraphs>1</Paragraphs>
  <TotalTime>18</TotalTime>
  <ScaleCrop>false</ScaleCrop>
  <LinksUpToDate>false</LinksUpToDate>
  <CharactersWithSpaces>1869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2023-05-07T17:06:00Z</dcterms:created>
  <dc:creator>：）</dc:creator>
  <cp:lastModifiedBy>南川区林业局值班账号</cp:lastModifiedBy>
  <cp:lastPrinted>2026-05-14T17:21:00Z</cp:lastPrinted>
  <dcterms:modified xsi:type="dcterms:W3CDTF">2026-05-14T09:47:00Z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3079BC37E3D2C5156494056A43A48048</vt:lpwstr>
  </property>
</Properties>
</file>