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  <w:snapToGrid w:val="0"/>
          <w:color w:val="000000"/>
          <w:szCs w:val="32"/>
        </w:rPr>
      </w:pPr>
      <w:r>
        <w:rPr>
          <w:rFonts w:hint="default" w:ascii="Times New Roman" w:hAnsi="Times New Roman" w:cs="Times New Roman"/>
          <w:snapToGrid w:val="0"/>
          <w:color w:val="000000"/>
          <w:szCs w:val="32"/>
        </w:rPr>
        <w:t>A类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000000" w:sz="0" w:space="0"/>
        </w:pBd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napToGrid w:val="0"/>
          <w:color w:val="FF0000"/>
          <w:sz w:val="84"/>
          <w:szCs w:val="84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839470</wp:posOffset>
                </wp:positionV>
                <wp:extent cx="5581650" cy="9525"/>
                <wp:effectExtent l="0" t="28575" r="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66.1pt;height:0.75pt;width:439.5pt;z-index:251660288;mso-width-relative:page;mso-height-relative:page;" filled="f" stroked="t" coordsize="21600,21600" o:gfxdata="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xtqH9UAAAAJAQAADwAAAAAAAAABACAAAAAiAAAAZHJzL2Rvd25yZXYueG1sUEsB&#10;AhQAFAAAAAgAh07iQFACZwT4AQAA8AMAAA4AAAAAAAAAAQAgAAAAJAEAAGRycy9lMm9Eb2MueG1s&#10;UEsFBgAAAAAGAAYAWQEAAI4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napToGrid w:val="0"/>
          <w:color w:val="FF0000"/>
          <w:sz w:val="84"/>
          <w:szCs w:val="84"/>
        </w:rPr>
        <w:t>重庆市南川区林业局</w:t>
      </w:r>
    </w:p>
    <w:p>
      <w:pPr>
        <w:spacing w:line="480" w:lineRule="exact"/>
        <w:jc w:val="righ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南川林函〔202</w:t>
      </w:r>
      <w:r>
        <w:rPr>
          <w:rFonts w:hint="default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default" w:ascii="Times New Roman" w:hAnsi="Times New Roman" w:cs="Times New Roman"/>
          <w:szCs w:val="32"/>
          <w:lang w:val="en-US" w:eastAsia="zh-CN"/>
        </w:rPr>
        <w:t>5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szCs w:val="32"/>
        </w:rPr>
        <w:t>号</w:t>
      </w:r>
    </w:p>
    <w:p>
      <w:pPr>
        <w:spacing w:line="480" w:lineRule="exact"/>
        <w:rPr>
          <w:rFonts w:hint="default" w:ascii="Times New Roman" w:hAnsi="Times New Roman" w:cs="Times New Roman"/>
          <w:szCs w:val="32"/>
        </w:rPr>
      </w:pPr>
    </w:p>
    <w:p>
      <w:pPr>
        <w:pStyle w:val="10"/>
        <w:keepNext w:val="0"/>
        <w:keepLines w:val="0"/>
        <w:widowControl/>
        <w:suppressLineNumbers w:val="0"/>
        <w:autoSpaceDE w:val="0"/>
        <w:autoSpaceDN/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重庆市南川区林业局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br w:type="textWrapping"/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关于区政协十五届六次会议第143号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提案办理情况的答复函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梅会琳委员：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您提出的《关于推进方竹笋特色产业高质量发展的提案》（第143号）收悉。经与区商务委、区农业农村委协办单位共同研究办理，现将办理情况答复如下。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lang w:val="en-US" w:eastAsia="zh-CN" w:bidi="ar"/>
        </w:rPr>
        <w:t>一、基本情况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spacing w:val="0"/>
          <w:kern w:val="2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南川方竹笋是我区“一主两辅”现代农业产业体系中的辅助产业之一，‌是我区南部乡镇群众收入的主要来源。目前，全区现有方竹林面积25万亩，分布在金山、头渡、德隆等12个乡镇（街道），2个国有林场，年产毛壳鲜笋3.4万吨，综合产值达5.6亿元。南川方竹笋先后获得国家地理标志产品保护专用标志、商标注册证。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南川因方竹产业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发展获得“中国特色竹乡”称号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eastAsia" w:eastAsia="方正黑体_GBK" w:cs="Times New Roman"/>
          <w:spacing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</w:rPr>
      </w:pPr>
      <w:r>
        <w:rPr>
          <w:rFonts w:hint="eastAsia" w:eastAsia="方正黑体_GBK" w:cs="Times New Roman"/>
          <w:spacing w:val="0"/>
          <w:kern w:val="2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lang w:val="en-US" w:eastAsia="zh-CN" w:bidi="ar"/>
        </w:rPr>
        <w:t>办理情况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我局高度重视您提出的发展建议，在扩规模、提品质、增效益上持续发力，着力做大基地、做强加工、做优品牌，方竹产业发展呈现出量质齐升的良好态势，努力走出一条生态美、产业兴、百姓富的绿色发展之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"/>
        </w:rPr>
        <w:t>（一）科技赋能，打造标准化种植基地。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一是开展科技培训。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邀请市林业科技特派员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在金山镇、头渡镇、德隆镇、合溪镇等4个主产乡镇开展方竹林科学经营管理培训，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采</w:t>
      </w:r>
      <w:r>
        <w:rPr>
          <w:rFonts w:hint="eastAsia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用“室内理论+林间实操+现场答疑+示范观摩”四维模式，对方竹种植方法、管理技术、病虫害防治等方面进行了详细培训，确保笋农“学得会、用得上”。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二是打造示范基地。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全力推广应用《金佛山方竹栽培技术规程》，开展方竹笋低效林改造1500亩，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示范带动全区笋农自发实施低产林改造，切实提高方竹笋产量和质量。目前，全区累计打造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方竹成林管护示范片及低效林改造示范片20余个，最高亩产达1000余斤，竹笋产量同比增长10.5%，基地示范带动成效明显。方竹笋采摘期间，当地笋农在短短两个多月时间，户均收入数万至十余万元，有力提高了原住民生活水平和幸福指数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三是推进无人机运笋。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探索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打造无人机运送航线，构建无人机重载集群吊运网络，破解高山陡坡竹笋人力转运效率低、品质损耗大难题。目前，区发展改革委已申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报“低空经济基础设施建设项目”，计划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建设8座5G基站、3座北斗增强站、5套微气象站，实现核心采笋区5G信号覆盖率95%，我局将全力保障用地事宜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，确保“无人机速进、竹笋快出”，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进一步降本增效。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0"/>
          <w:kern w:val="2"/>
          <w:sz w:val="32"/>
          <w:szCs w:val="32"/>
          <w:lang w:val="en-US" w:eastAsia="zh-CN" w:bidi="ar"/>
        </w:rPr>
        <w:t>（二）政企联动，做强加工产业链条。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支持企业扩能升级，完善速冻、保鲜、精深加工生产线，提升加工产能与效率，破解鲜笋集中上市加工能力不足难题。目前，</w:t>
      </w:r>
      <w:r>
        <w:rPr>
          <w:rFonts w:hint="default" w:ascii="Times New Roman" w:hAnsi="Times New Roman" w:eastAsia="方正仿宋_GBK" w:cs="Times New Roman"/>
          <w:i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区内有方竹笋加工企业10余家，其中培育有加贝食品、菜多多食品等规模以上笋竹加工企业4家，年加工以方竹笋为主的森林食品1.8万吨。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一是加强招商引资。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会同区农委、头渡镇政府开展招商引资，在昌达物流园区实施一品云冻方竹笋速冻加工项目，集中配置超低温云冻、全自动前处理、冷链仓储等设施设备，建设3条方竹笋超低温云冻生产线。与常规速冻及液氮深冷保鲜相比，保鲜周期大幅延长，冷链保障率提升至100%，大幅减少鲜笋滞销损耗。预计生产线在笋季单月加工方竹笋1200吨，全年加工其他农产品累计5000吨以上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二是加强技术指导。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聘请笋竹产业智库专家吴良如教授全程指导加工工艺提升、新产品研发、品质管控。引导企业开发清水食材、即食休闲、预制菜、膳食纤维精深加工四大系列产品，创新推出柠檬笋尖、百香果味笋尖等特色风味产品，研发方竹面条、竹纤维饼干等森林食品，延伸产业链、提升附加值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三是助力企业集群发展。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大观园区作为我区明确的农产品加工园区，通过土地供应、厂房租赁优惠等政策，吸引方竹笋加工企业入驻，推动产业规模化、集约化发展。目前，加贝食品、菜多多食品、联富农副产品等笋竹加工企业已入驻园区并正常开展经营活动；山吧丘食品公司正在园区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建设笋竹食品精深加工生产线6条，年精深加工产量1500吨，预计今年9月建成投产；园区各笋竹企业年精深加工竹笋等森林食品能力将达到1.5万吨。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（三）倾力推介，做靓市场特色品牌。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一是规范地标使用与品牌打造。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南川方竹笋是国家地理标志产品，拥有地理标志证明商标。针对地理标志使用方面，我局协助区市场监管局规范南川方竹笋地标使用，现有7家主体获得授权使用。同时，协助区农业农村委开展特色品牌打造，2025年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szCs w:val="32"/>
          <w:lang w:val="en-US" w:eastAsia="zh-CN" w:bidi="ar"/>
        </w:rPr>
        <w:t>南川方竹笋上榜市区域公用品牌影响力TOP20，入围首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批巴渝“土特产”名优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szCs w:val="32"/>
          <w:lang w:val="en-US" w:eastAsia="zh-CN" w:bidi="ar"/>
        </w:rPr>
        <w:t>百品，获评全国名特优新农产品。此外，轩瑞、加贝、菜多多等竹笋加工企业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培育渝南、轩瑞、三峡竹珍等自主品牌10余个，注册商标47个，进一步提升南川方竹笋的品牌力、影响力。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二是助力构建全渠道销售网络。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鼓励、支持笋竹加工企业、种植大户搭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建“线下+线上”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全方面营销网络，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清水笋进入火锅、酒店、商超体系，休闲食品入驻零食有鸣、零食很忙、赵一鸣等休闲零食连锁渠道。目前，东哥农业、雨吉食品、山吧丘等笋竹加工企业均已入驻拼多多、抖音等主流电商平台，线上销售额1000万余元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三是开展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“方竹笋+”活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动。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加强方竹笋推介宣传，组织笋竹加工企业参加厦门名特优新农产品产销对接活动、重庆市食品及农产品加工高质量发展产业生态大会等展会活动。同时，会同区文旅委、山水公司等单位在采笋季举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办“方竹笋文化节”，挖掘方竹文化内涵，方竹林海入选“金佛山·世界遗产奇观”之一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，开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发“竹壳画”竹制工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艺品和竹林徒步路线等，推动方竹产业与文旅产业融合发展，提升南川方竹笋品牌知名度与影响力。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（四）强化保障，筑牢产业发展支撑。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一是加强示范主体培育。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kern w:val="0"/>
          <w:sz w:val="32"/>
          <w:szCs w:val="32"/>
          <w:lang w:val="en-US" w:eastAsia="zh-CN" w:bidi="ar"/>
        </w:rPr>
        <w:t>以全市“三兴”行动为工作导向，重点培育方竹笋等林业产业基础较好的行政村、经营主体申报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全市“三兴”村和林业大户，并给予一定补助资金用于产业发展。目前，方竹产业资源丰富的德隆镇银杏村被培育为市级“三兴”村，将给予20万元补助资金用于“三兴”工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作。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二是构建利益联结机制。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推广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“村集体+企业+林农”“林业大户+林农”“本土电商达人+林农”利益联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结机制，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通过订单收购、保底分红、务工就业等方式，保障笋农稳定增收。如银杏村通过有效拓展林业产业、乡村旅游发展空间，实现村集体年经营性收入超30万元，让林农分享到产业融合发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展“红利”。</w:t>
      </w: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三是加强质量监管。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强化笋竹林地生产环境监管，从源头保证林产品质量安全，对林业专业合作社、种植大户开展安全检查，督促指导食用林产品生产经营主体依法依规开展经营活动。配合市林业局开展方竹笋食用林产品抽样检测50批次，抽查样品检测结</w:t>
      </w:r>
      <w:r>
        <w:rPr>
          <w:rFonts w:hint="eastAsia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均合格。依托食品安全宣传周、出笋季等节点，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大力普及食品安全法律法规和科学知识，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有效筑牢食用林产品质量安全防线，切实助力保障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群众“舌尖上的安全”。配合区农委搭建“南川农安”溯源平台，实现产品追溯信息、合格证信息及企业、产品信息“一码整合、一码展示”。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三、下一步工作打算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下一步，我们将围绕乡村振</w:t>
      </w:r>
      <w:r>
        <w:rPr>
          <w:rFonts w:hint="default" w:ascii="方正仿宋_GBK" w:hAnsi="方正仿宋_GBK" w:eastAsia="方正仿宋_GBK" w:cs="方正仿宋_GBK"/>
          <w:spacing w:val="0"/>
          <w:kern w:val="2"/>
          <w:sz w:val="32"/>
          <w:szCs w:val="32"/>
          <w:lang w:val="en-US" w:eastAsia="zh-CN" w:bidi="ar"/>
        </w:rPr>
        <w:t>兴战略，按照“产业生态化、生态产业化”要求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，以《方竹产业中长期发展规划》为引领，推动全区方竹产业高质量发展。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一是持续扩面提质</w:t>
      </w:r>
      <w:r>
        <w:rPr>
          <w:rFonts w:hint="default" w:ascii="Times New Roman" w:hAnsi="Times New Roman" w:eastAsia="方正楷体_GB2312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加大方竹低效林改造、高产基地建设力度，完善产业路网与管护设施，稳步提升竹笋产量与品质。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二是强化科技赋能。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深化与科研院校、行业专家合作，加快新品种、新工艺、新设备推广应用，提升产业科技含量。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三是壮大市场主体。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加大龙头企业、专业合作社扶持力度，推动精深加工、预制菜、休闲食品规模化发展，提升产业链附加值。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"/>
        </w:rPr>
        <w:t>四是擦亮金字招牌。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持续强化品牌运营、溯源体系建设与市场推广，扩大市场份额，完善物流配套体系，全力将南川方竹笋打造成全国知名、国际有影响力的特色林业产业品牌。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此答复函已经区林业局王彬局长审签。对以上答复您有什么意见，请及时通过数字政协平台进行评价。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（联系人：吴齐昊</w:t>
      </w:r>
      <w:r>
        <w:rPr>
          <w:rFonts w:hint="default" w:ascii="Times New Roman" w:hAnsi="Times New Roman" w:cs="Times New Roman"/>
          <w:spacing w:val="0"/>
          <w:kern w:val="2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>联系电话：19923367527）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960" w:firstLineChars="155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94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重庆市南川区林业局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2026年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月1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（此件公开发布）</w:t>
      </w: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pStyle w:val="9"/>
        <w:autoSpaceDE w:val="0"/>
        <w:snapToGrid w:val="0"/>
        <w:spacing w:beforeAutospacing="0" w:afterAutospacing="0" w:line="594" w:lineRule="exact"/>
        <w:jc w:val="both"/>
        <w:rPr>
          <w:rFonts w:hint="default" w:ascii="Times New Roman" w:hAnsi="Times New Roman" w:cs="Times New Roman"/>
          <w:kern w:val="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443865</wp:posOffset>
                </wp:positionV>
                <wp:extent cx="5581650" cy="9525"/>
                <wp:effectExtent l="0" t="28575" r="0" b="381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34.95pt;height:0.75pt;width:439.5pt;z-index:251661312;mso-width-relative:page;mso-height-relative:page;" filled="f" stroked="t" coordsize="21600,21600" o:gfxdata="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hPGJNQAAAAHAQAADwAAAAAAAAABACAAAAAiAAAAZHJzL2Rvd25yZXYueG1sUEsB&#10;AhQAFAAAAAgAh07iQK7Fgxf5AQAA8AMAAA4AAAAAAAAAAQAgAAAAIwEAAGRycy9lMm9Eb2MueG1s&#10;UEsFBgAAAAAGAAYAWQEAAI4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Cs w:val="32"/>
        </w:rPr>
        <w:t>抄送：区政协提案委、区政府办公室</w:t>
      </w:r>
      <w:r>
        <w:rPr>
          <w:rFonts w:hint="default" w:ascii="Times New Roman" w:hAnsi="Times New Roman" w:cs="Times New Roman"/>
          <w:szCs w:val="32"/>
          <w:lang w:eastAsia="zh-CN"/>
        </w:rPr>
        <w:t>。</w:t>
      </w:r>
    </w:p>
    <w:sectPr>
      <w:footerReference r:id="rId3" w:type="default"/>
      <w:pgSz w:w="11906" w:h="16838"/>
      <w:pgMar w:top="1984" w:right="1446" w:bottom="1644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Y2JiZTI1ZmUxOTY4ODFiZDc5MTkyN2E3YmY0NjkifQ=="/>
  </w:docVars>
  <w:rsids>
    <w:rsidRoot w:val="32000355"/>
    <w:rsid w:val="001361BC"/>
    <w:rsid w:val="003812C7"/>
    <w:rsid w:val="004A3A12"/>
    <w:rsid w:val="00556E14"/>
    <w:rsid w:val="007814F3"/>
    <w:rsid w:val="00C867E1"/>
    <w:rsid w:val="07055961"/>
    <w:rsid w:val="0AA0184F"/>
    <w:rsid w:val="0E192091"/>
    <w:rsid w:val="0FBF7DDF"/>
    <w:rsid w:val="14405160"/>
    <w:rsid w:val="177606C3"/>
    <w:rsid w:val="1BDF7DD9"/>
    <w:rsid w:val="20497A79"/>
    <w:rsid w:val="205B18BB"/>
    <w:rsid w:val="25891DA0"/>
    <w:rsid w:val="26E64DA3"/>
    <w:rsid w:val="27F538BD"/>
    <w:rsid w:val="2BC852D0"/>
    <w:rsid w:val="2FF92B68"/>
    <w:rsid w:val="32000355"/>
    <w:rsid w:val="35FFDB3D"/>
    <w:rsid w:val="3BDF1F02"/>
    <w:rsid w:val="3ED76A69"/>
    <w:rsid w:val="492F3743"/>
    <w:rsid w:val="4A5A602C"/>
    <w:rsid w:val="4BB92DEC"/>
    <w:rsid w:val="54FD0301"/>
    <w:rsid w:val="5BE135D9"/>
    <w:rsid w:val="5D7F228E"/>
    <w:rsid w:val="5E3F94EB"/>
    <w:rsid w:val="67FBEEE2"/>
    <w:rsid w:val="6DFF0C8C"/>
    <w:rsid w:val="6EF63042"/>
    <w:rsid w:val="6F774C17"/>
    <w:rsid w:val="71F3E22C"/>
    <w:rsid w:val="73CC3709"/>
    <w:rsid w:val="75AF88A4"/>
    <w:rsid w:val="771775EC"/>
    <w:rsid w:val="77A57521"/>
    <w:rsid w:val="77BF24A5"/>
    <w:rsid w:val="79CF0673"/>
    <w:rsid w:val="7DFF71A7"/>
    <w:rsid w:val="7F374D36"/>
    <w:rsid w:val="7F7F93C2"/>
    <w:rsid w:val="7F918238"/>
    <w:rsid w:val="7FBD2547"/>
    <w:rsid w:val="7FC642FF"/>
    <w:rsid w:val="7FFEF6A6"/>
    <w:rsid w:val="7FFF85C4"/>
    <w:rsid w:val="8AFF8379"/>
    <w:rsid w:val="9DEE5657"/>
    <w:rsid w:val="9FDEF1A0"/>
    <w:rsid w:val="AF472A1B"/>
    <w:rsid w:val="B7BF623F"/>
    <w:rsid w:val="BFBFCEB5"/>
    <w:rsid w:val="C7BBA23F"/>
    <w:rsid w:val="DCB76137"/>
    <w:rsid w:val="E7D3F2E0"/>
    <w:rsid w:val="EC78B1AF"/>
    <w:rsid w:val="EDF864F7"/>
    <w:rsid w:val="EEFF08FC"/>
    <w:rsid w:val="EF57270B"/>
    <w:rsid w:val="EF7BE731"/>
    <w:rsid w:val="F76F3414"/>
    <w:rsid w:val="F8FF996D"/>
    <w:rsid w:val="FDBBE3E9"/>
    <w:rsid w:val="FDEF3335"/>
    <w:rsid w:val="FEF7F285"/>
    <w:rsid w:val="FEFC978B"/>
    <w:rsid w:val="FF638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ind w:left="120"/>
    </w:pPr>
    <w:rPr>
      <w:rFonts w:ascii="宋体" w:cs="宋体"/>
      <w:sz w:val="21"/>
      <w:szCs w:val="21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qFormat/>
    <w:uiPriority w:val="0"/>
    <w:pPr>
      <w:snapToGrid w:val="0"/>
      <w:spacing w:line="540" w:lineRule="exact"/>
    </w:pPr>
    <w:rPr>
      <w:color w:val="00000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10">
    <w:name w:val="Title"/>
    <w:basedOn w:val="1"/>
    <w:qFormat/>
    <w:uiPriority w:val="0"/>
    <w:pPr>
      <w:widowControl/>
      <w:spacing w:before="0" w:beforeAutospacing="0" w:after="0" w:afterAutospacing="0" w:line="720" w:lineRule="exact"/>
      <w:ind w:left="0" w:right="0"/>
      <w:jc w:val="center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customStyle="1" w:styleId="13">
    <w:name w:val="Body Text 2_e3f6d5bb-2ab5-4775-8219-163e198f170b"/>
    <w:basedOn w:val="1"/>
    <w:qFormat/>
    <w:uiPriority w:val="0"/>
    <w:pPr>
      <w:snapToGrid w:val="0"/>
      <w:spacing w:line="540" w:lineRule="exact"/>
    </w:pPr>
    <w:rPr>
      <w:color w:val="000000"/>
      <w:szCs w:val="32"/>
    </w:rPr>
  </w:style>
  <w:style w:type="character" w:customStyle="1" w:styleId="14">
    <w:name w:val="日期 Char"/>
    <w:basedOn w:val="12"/>
    <w:link w:val="5"/>
    <w:qFormat/>
    <w:uiPriority w:val="0"/>
    <w:rPr>
      <w:rFonts w:eastAsia="方正仿宋_GBK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279</Words>
  <Characters>1593</Characters>
  <Lines>1</Lines>
  <Paragraphs>1</Paragraphs>
  <TotalTime>14</TotalTime>
  <ScaleCrop>false</ScaleCrop>
  <LinksUpToDate>false</LinksUpToDate>
  <CharactersWithSpaces>1869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2023-05-08T01:06:00Z</dcterms:created>
  <dc:creator>：）</dc:creator>
  <cp:lastModifiedBy>南川区林业局值班账号</cp:lastModifiedBy>
  <cp:lastPrinted>2026-05-15T01:24:00Z</cp:lastPrinted>
  <dcterms:modified xsi:type="dcterms:W3CDTF">2026-05-18T01:21:29Z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AB093FFDF888472B1E95056A452F1C2A</vt:lpwstr>
  </property>
</Properties>
</file>