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DC" w:rsidRDefault="000403EB">
      <w:pPr>
        <w:pStyle w:val="a3"/>
        <w:widowControl/>
        <w:spacing w:beforeAutospacing="0" w:afterAutospacing="0" w:line="600" w:lineRule="exact"/>
        <w:jc w:val="both"/>
        <w:rPr>
          <w:snapToGrid w:val="0"/>
          <w:color w:val="000000" w:themeColor="text1"/>
        </w:rPr>
      </w:pPr>
      <w:r>
        <w:rPr>
          <w:rFonts w:ascii="system-ui" w:eastAsia="system-ui" w:hAnsi="system-ui" w:cs="system-ui"/>
          <w:noProof/>
          <w:snapToGrid w:val="0"/>
          <w:color w:val="000000" w:themeColor="text1"/>
          <w:shd w:val="clear" w:color="auto" w:fill="FFFFFF"/>
        </w:rPr>
        <w:drawing>
          <wp:anchor distT="0" distB="0" distL="114300" distR="114300" simplePos="0" relativeHeight="251659264" behindDoc="1" locked="0" layoutInCell="1" allowOverlap="1">
            <wp:simplePos x="0" y="0"/>
            <wp:positionH relativeFrom="column">
              <wp:posOffset>-123825</wp:posOffset>
            </wp:positionH>
            <wp:positionV relativeFrom="paragraph">
              <wp:posOffset>238125</wp:posOffset>
            </wp:positionV>
            <wp:extent cx="5546725" cy="5285105"/>
            <wp:effectExtent l="0" t="0" r="15875" b="10795"/>
            <wp:wrapTight wrapText="bothSides">
              <wp:wrapPolygon edited="0">
                <wp:start x="0" y="0"/>
                <wp:lineTo x="0" y="21488"/>
                <wp:lineTo x="21513" y="21488"/>
                <wp:lineTo x="21513" y="0"/>
                <wp:lineTo x="0" y="0"/>
              </wp:wrapPolygon>
            </wp:wrapTight>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cstate="print"/>
                    <a:stretch>
                      <a:fillRect/>
                    </a:stretch>
                  </pic:blipFill>
                  <pic:spPr>
                    <a:xfrm>
                      <a:off x="0" y="0"/>
                      <a:ext cx="5546725" cy="5285105"/>
                    </a:xfrm>
                    <a:prstGeom prst="rect">
                      <a:avLst/>
                    </a:prstGeom>
                    <a:noFill/>
                    <a:ln w="9525">
                      <a:noFill/>
                    </a:ln>
                  </pic:spPr>
                </pic:pic>
              </a:graphicData>
            </a:graphic>
          </wp:anchor>
        </w:drawing>
      </w:r>
    </w:p>
    <w:p w:rsidR="00414DDC" w:rsidRDefault="000403EB" w:rsidP="000403EB">
      <w:pPr>
        <w:pStyle w:val="a3"/>
        <w:widowControl/>
        <w:spacing w:beforeAutospacing="0" w:afterAutospacing="0" w:line="600" w:lineRule="exact"/>
        <w:ind w:firstLineChars="200" w:firstLine="643"/>
        <w:jc w:val="both"/>
        <w:rPr>
          <w:rFonts w:ascii="方正黑体_GBK" w:eastAsia="方正黑体_GBK" w:hAnsi="方正黑体_GBK" w:cs="方正黑体_GBK"/>
          <w:snapToGrid w:val="0"/>
          <w:color w:val="000000" w:themeColor="text1"/>
          <w:sz w:val="32"/>
          <w:szCs w:val="32"/>
        </w:rPr>
      </w:pPr>
      <w:r>
        <w:rPr>
          <w:rStyle w:val="a4"/>
          <w:rFonts w:ascii="方正黑体_GBK" w:eastAsia="方正黑体_GBK" w:hAnsi="方正黑体_GBK" w:cs="方正黑体_GBK" w:hint="eastAsia"/>
          <w:snapToGrid w:val="0"/>
          <w:color w:val="000000" w:themeColor="text1"/>
          <w:sz w:val="32"/>
          <w:szCs w:val="32"/>
          <w:shd w:val="clear" w:color="auto" w:fill="FFFFFF"/>
        </w:rPr>
        <w:t>在我区城市建成区划定范围内全年禁止燃放烟花爆竹具体禁止燃放烟花爆竹区域为</w:t>
      </w:r>
      <w:r>
        <w:rPr>
          <w:rStyle w:val="a4"/>
          <w:rFonts w:ascii="方正黑体_GBK" w:eastAsia="方正黑体_GBK" w:hAnsi="方正黑体_GBK" w:cs="方正黑体_GBK" w:hint="eastAsia"/>
          <w:snapToGrid w:val="0"/>
          <w:color w:val="000000" w:themeColor="text1"/>
          <w:sz w:val="32"/>
          <w:szCs w:val="32"/>
          <w:shd w:val="clear" w:color="auto" w:fill="FFFFFF"/>
        </w:rPr>
        <w:t>：</w:t>
      </w:r>
    </w:p>
    <w:p w:rsidR="00414DDC" w:rsidRPr="000403EB" w:rsidRDefault="000403EB" w:rsidP="000403EB">
      <w:pPr>
        <w:widowControl/>
        <w:numPr>
          <w:ilvl w:val="0"/>
          <w:numId w:val="1"/>
        </w:numPr>
        <w:spacing w:line="600" w:lineRule="exact"/>
        <w:ind w:firstLineChars="200" w:firstLine="640"/>
        <w:jc w:val="left"/>
        <w:rPr>
          <w:rFonts w:ascii="Times New Roman" w:eastAsia="方正仿宋_GBK" w:hAnsi="Times New Roman" w:cs="Times New Roman"/>
          <w:snapToGrid w:val="0"/>
          <w:color w:val="000000" w:themeColor="text1"/>
          <w:kern w:val="0"/>
          <w:sz w:val="32"/>
          <w:szCs w:val="32"/>
          <w:shd w:val="clear" w:color="auto" w:fill="FFFFFF"/>
          <w:lang/>
        </w:rPr>
      </w:pPr>
      <w:r w:rsidRPr="000403EB">
        <w:rPr>
          <w:rFonts w:ascii="Times New Roman" w:eastAsia="方正仿宋_GBK" w:hAnsi="Times New Roman" w:cs="Times New Roman"/>
          <w:snapToGrid w:val="0"/>
          <w:color w:val="000000" w:themeColor="text1"/>
          <w:kern w:val="0"/>
          <w:sz w:val="32"/>
          <w:szCs w:val="32"/>
          <w:shd w:val="clear" w:color="auto" w:fill="FFFFFF"/>
          <w:lang/>
        </w:rPr>
        <w:t>以鼓楼广场为中心，从永隆路与金山大道交叉路口经武装部至金山大道与景城大道路口，经书画院至九鼎二路，九鼎二路向北经九鼎路至金山大道，经区人力社保局、恒安戴斯酒店至火车站大道；</w:t>
      </w:r>
    </w:p>
    <w:p w:rsidR="00414DDC" w:rsidRPr="000403EB" w:rsidRDefault="000403EB" w:rsidP="000403EB">
      <w:pPr>
        <w:widowControl/>
        <w:numPr>
          <w:ilvl w:val="0"/>
          <w:numId w:val="1"/>
        </w:numPr>
        <w:spacing w:line="600" w:lineRule="exact"/>
        <w:ind w:firstLineChars="200" w:firstLine="640"/>
        <w:jc w:val="left"/>
        <w:rPr>
          <w:rFonts w:ascii="Times New Roman" w:eastAsia="方正仿宋_GBK" w:hAnsi="Times New Roman" w:cs="Times New Roman" w:hint="eastAsia"/>
          <w:snapToGrid w:val="0"/>
          <w:color w:val="000000" w:themeColor="text1"/>
          <w:kern w:val="0"/>
          <w:sz w:val="32"/>
          <w:szCs w:val="32"/>
          <w:shd w:val="clear" w:color="auto" w:fill="FFFFFF"/>
          <w:lang/>
        </w:rPr>
      </w:pPr>
      <w:r w:rsidRPr="000403EB">
        <w:rPr>
          <w:rFonts w:ascii="Times New Roman" w:eastAsia="方正仿宋_GBK" w:hAnsi="Times New Roman" w:cs="Times New Roman"/>
          <w:snapToGrid w:val="0"/>
          <w:color w:val="000000" w:themeColor="text1"/>
          <w:kern w:val="0"/>
          <w:sz w:val="32"/>
          <w:szCs w:val="32"/>
          <w:shd w:val="clear" w:color="auto" w:fill="FFFFFF"/>
          <w:lang/>
        </w:rPr>
        <w:lastRenderedPageBreak/>
        <w:t>向东至金佛大道与东环路交叉路口（半溪路口），从该路口向西经东环路、花山公园、东城福利院至殡仪馆入口，再从北环路向西经锦绣园、晓悦湾至永隆路以内的城区及周边住宅小区。</w:t>
      </w:r>
    </w:p>
    <w:p w:rsidR="00414DDC" w:rsidRPr="000403EB" w:rsidRDefault="000403EB">
      <w:pPr>
        <w:widowControl/>
        <w:spacing w:line="600" w:lineRule="exact"/>
        <w:ind w:firstLineChars="200" w:firstLine="640"/>
        <w:jc w:val="left"/>
        <w:rPr>
          <w:rFonts w:ascii="Times New Roman" w:eastAsia="方正黑体_GBK" w:hAnsi="Times New Roman" w:cs="Times New Roman"/>
          <w:snapToGrid w:val="0"/>
          <w:color w:val="000000" w:themeColor="text1"/>
          <w:kern w:val="0"/>
          <w:sz w:val="32"/>
          <w:szCs w:val="32"/>
        </w:rPr>
      </w:pPr>
      <w:r w:rsidRPr="000403EB">
        <w:rPr>
          <w:rFonts w:ascii="Times New Roman" w:eastAsia="方正黑体_GBK" w:hAnsi="Times New Roman" w:cs="Times New Roman"/>
          <w:snapToGrid w:val="0"/>
          <w:color w:val="000000" w:themeColor="text1"/>
          <w:kern w:val="0"/>
          <w:sz w:val="32"/>
          <w:szCs w:val="32"/>
          <w:shd w:val="clear" w:color="auto" w:fill="FFFFFF"/>
          <w:lang/>
        </w:rPr>
        <w:t xml:space="preserve"> </w:t>
      </w:r>
      <w:r w:rsidRPr="000403EB">
        <w:rPr>
          <w:rStyle w:val="a4"/>
          <w:rFonts w:ascii="Times New Roman" w:eastAsia="方正黑体_GBK" w:hAnsi="Times New Roman" w:cs="Times New Roman"/>
          <w:snapToGrid w:val="0"/>
          <w:color w:val="000000" w:themeColor="text1"/>
          <w:kern w:val="0"/>
          <w:sz w:val="32"/>
          <w:szCs w:val="32"/>
          <w:shd w:val="clear" w:color="auto" w:fill="FFFFFF"/>
          <w:lang/>
        </w:rPr>
        <w:t>区燃管办提醒广大群众：</w:t>
      </w:r>
    </w:p>
    <w:p w:rsidR="00414DDC" w:rsidRPr="000403EB" w:rsidRDefault="000403EB" w:rsidP="000403EB">
      <w:pPr>
        <w:pStyle w:val="a3"/>
        <w:widowControl/>
        <w:numPr>
          <w:ilvl w:val="0"/>
          <w:numId w:val="2"/>
        </w:numPr>
        <w:spacing w:beforeAutospacing="0" w:afterAutospacing="0" w:line="600" w:lineRule="exact"/>
        <w:ind w:firstLineChars="200" w:firstLine="640"/>
        <w:jc w:val="both"/>
        <w:rPr>
          <w:rFonts w:ascii="Times New Roman" w:eastAsia="方正仿宋_GBK" w:hAnsi="Times New Roman"/>
          <w:snapToGrid w:val="0"/>
          <w:color w:val="000000" w:themeColor="text1"/>
          <w:sz w:val="32"/>
          <w:szCs w:val="32"/>
        </w:rPr>
      </w:pPr>
      <w:r w:rsidRPr="000403EB">
        <w:rPr>
          <w:rFonts w:ascii="Times New Roman" w:eastAsia="方正仿宋_GBK" w:hAnsi="Times New Roman"/>
          <w:snapToGrid w:val="0"/>
          <w:color w:val="000000" w:themeColor="text1"/>
          <w:sz w:val="32"/>
          <w:szCs w:val="32"/>
          <w:shd w:val="clear" w:color="auto" w:fill="FFFFFF"/>
        </w:rPr>
        <w:t>要认清非法生产、经营、运输烟花爆竹等行为的严重危害性，自觉远离此类违法行为，保证自身与他人的安全；</w:t>
      </w:r>
    </w:p>
    <w:p w:rsidR="00414DDC" w:rsidRPr="000403EB" w:rsidRDefault="000403EB" w:rsidP="000403EB">
      <w:pPr>
        <w:pStyle w:val="a3"/>
        <w:widowControl/>
        <w:numPr>
          <w:ilvl w:val="0"/>
          <w:numId w:val="2"/>
        </w:numPr>
        <w:spacing w:beforeAutospacing="0" w:afterAutospacing="0" w:line="600" w:lineRule="exact"/>
        <w:ind w:firstLineChars="200" w:firstLine="640"/>
        <w:jc w:val="both"/>
        <w:rPr>
          <w:rFonts w:ascii="Times New Roman" w:eastAsia="方正仿宋_GBK" w:hAnsi="Times New Roman"/>
          <w:snapToGrid w:val="0"/>
          <w:color w:val="000000" w:themeColor="text1"/>
          <w:sz w:val="32"/>
          <w:szCs w:val="32"/>
        </w:rPr>
      </w:pPr>
      <w:r w:rsidRPr="000403EB">
        <w:rPr>
          <w:rFonts w:ascii="Times New Roman" w:eastAsia="方正仿宋_GBK" w:hAnsi="Times New Roman"/>
          <w:snapToGrid w:val="0"/>
          <w:color w:val="000000" w:themeColor="text1"/>
          <w:sz w:val="32"/>
          <w:szCs w:val="32"/>
          <w:shd w:val="clear" w:color="auto" w:fill="FFFFFF"/>
        </w:rPr>
        <w:t>选购烟花爆竹要到正规合法的零售店（点）购买合格的个人燃放类烟花爆竹，不得购买燃放含药量超标、燃放无固定轨迹的产品；</w:t>
      </w:r>
    </w:p>
    <w:p w:rsidR="00414DDC" w:rsidRPr="000403EB" w:rsidRDefault="000403EB" w:rsidP="000403EB">
      <w:pPr>
        <w:pStyle w:val="a3"/>
        <w:widowControl/>
        <w:numPr>
          <w:ilvl w:val="0"/>
          <w:numId w:val="2"/>
        </w:numPr>
        <w:spacing w:beforeAutospacing="0" w:afterAutospacing="0" w:line="600" w:lineRule="exact"/>
        <w:ind w:firstLineChars="200" w:firstLine="640"/>
        <w:jc w:val="both"/>
        <w:rPr>
          <w:rFonts w:ascii="Times New Roman" w:eastAsia="方正仿宋_GBK" w:hAnsi="Times New Roman"/>
          <w:snapToGrid w:val="0"/>
          <w:color w:val="000000" w:themeColor="text1"/>
          <w:sz w:val="32"/>
          <w:szCs w:val="32"/>
        </w:rPr>
      </w:pPr>
      <w:r w:rsidRPr="000403EB">
        <w:rPr>
          <w:rFonts w:ascii="Times New Roman" w:eastAsia="方正仿宋_GBK" w:hAnsi="Times New Roman"/>
          <w:snapToGrid w:val="0"/>
          <w:color w:val="000000" w:themeColor="text1"/>
          <w:sz w:val="32"/>
          <w:szCs w:val="32"/>
          <w:shd w:val="clear" w:color="auto" w:fill="FFFFFF"/>
        </w:rPr>
        <w:t>要安全文明燃放，不要在禁放</w:t>
      </w:r>
      <w:bookmarkStart w:id="0" w:name="_GoBack"/>
      <w:bookmarkEnd w:id="0"/>
      <w:r w:rsidRPr="000403EB">
        <w:rPr>
          <w:rFonts w:ascii="Times New Roman" w:eastAsia="方正仿宋_GBK" w:hAnsi="Times New Roman"/>
          <w:snapToGrid w:val="0"/>
          <w:color w:val="000000" w:themeColor="text1"/>
          <w:sz w:val="32"/>
          <w:szCs w:val="32"/>
          <w:shd w:val="clear" w:color="auto" w:fill="FFFFFF"/>
        </w:rPr>
        <w:t>区域燃放烟花爆竹。</w:t>
      </w:r>
    </w:p>
    <w:p w:rsidR="00414DDC" w:rsidRPr="000403EB" w:rsidRDefault="00414DDC">
      <w:pPr>
        <w:pStyle w:val="a3"/>
        <w:widowControl/>
        <w:spacing w:beforeAutospacing="0" w:afterAutospacing="0" w:line="600" w:lineRule="exact"/>
        <w:jc w:val="center"/>
        <w:rPr>
          <w:rFonts w:ascii="Times New Roman" w:hAnsi="Times New Roman"/>
          <w:snapToGrid w:val="0"/>
          <w:color w:val="000000" w:themeColor="text1"/>
          <w:sz w:val="32"/>
          <w:szCs w:val="32"/>
        </w:rPr>
      </w:pPr>
    </w:p>
    <w:sectPr w:rsidR="00414DDC" w:rsidRPr="000403EB" w:rsidSect="00414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ui">
    <w:altName w:val="Segoe Print"/>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692C5"/>
    <w:multiLevelType w:val="singleLevel"/>
    <w:tmpl w:val="93B692C5"/>
    <w:lvl w:ilvl="0">
      <w:start w:val="1"/>
      <w:numFmt w:val="decimal"/>
      <w:suff w:val="space"/>
      <w:lvlText w:val="%1."/>
      <w:lvlJc w:val="left"/>
    </w:lvl>
  </w:abstractNum>
  <w:abstractNum w:abstractNumId="1">
    <w:nsid w:val="D1CE7CAD"/>
    <w:multiLevelType w:val="singleLevel"/>
    <w:tmpl w:val="D1CE7CAD"/>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WFiODk3NGVkZjdkZGE4ZjA2MjJmYjYxNmFkOGI0ODYifQ=="/>
  </w:docVars>
  <w:rsids>
    <w:rsidRoot w:val="00414DDC"/>
    <w:rsid w:val="000403EB"/>
    <w:rsid w:val="00414DDC"/>
    <w:rsid w:val="06236190"/>
    <w:rsid w:val="16451595"/>
    <w:rsid w:val="370B3872"/>
    <w:rsid w:val="61404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DD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14DD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14DDC"/>
    <w:pPr>
      <w:spacing w:beforeAutospacing="1" w:afterAutospacing="1"/>
      <w:jc w:val="left"/>
    </w:pPr>
    <w:rPr>
      <w:rFonts w:cs="Times New Roman"/>
      <w:kern w:val="0"/>
      <w:sz w:val="24"/>
    </w:rPr>
  </w:style>
  <w:style w:type="character" w:styleId="a4">
    <w:name w:val="Strong"/>
    <w:basedOn w:val="a0"/>
    <w:qFormat/>
    <w:rsid w:val="00414DDC"/>
    <w:rPr>
      <w:b/>
    </w:rPr>
  </w:style>
  <w:style w:type="character" w:styleId="a5">
    <w:name w:val="Emphasis"/>
    <w:basedOn w:val="a0"/>
    <w:qFormat/>
    <w:rsid w:val="00414DDC"/>
    <w:rPr>
      <w:i/>
    </w:rPr>
  </w:style>
  <w:style w:type="character" w:styleId="a6">
    <w:name w:val="Hyperlink"/>
    <w:basedOn w:val="a0"/>
    <w:rsid w:val="00414DD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2014-10-29T12:08:00Z</dcterms:created>
  <dcterms:modified xsi:type="dcterms:W3CDTF">2024-01-19T07:24:00Z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AC2BF496106240C8B81624800788AB15</vt:lpwstr>
  </property>
</Properties>
</file>