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spacing w:line="600" w:lineRule="exact"/>
        <w:ind w:firstLine="576" w:firstLineChars="200"/>
        <w:jc w:val="center"/>
        <w:rPr>
          <w:rFonts w:hint="default" w:ascii="Times New Roman" w:hAnsi="Times New Roman" w:eastAsia="仿宋_GB2312"/>
          <w:color w:val="auto"/>
          <w:w w:val="90"/>
          <w:sz w:val="32"/>
        </w:rPr>
      </w:pPr>
    </w:p>
    <w:p>
      <w:pPr>
        <w:pStyle w:val="2"/>
        <w:kinsoku w:val="0"/>
        <w:overflowPunct/>
        <w:spacing w:line="600" w:lineRule="exact"/>
        <w:jc w:val="center"/>
        <w:rPr>
          <w:rFonts w:hint="default" w:ascii="Times New Roman" w:hAnsi="Times New Roman" w:eastAsia="方正仿宋_GBK" w:cs="方正仿宋_GBK"/>
          <w:color w:val="auto"/>
          <w:spacing w:val="-3"/>
          <w:w w:val="90"/>
        </w:rPr>
      </w:pPr>
      <w:r>
        <w:rPr>
          <w:rFonts w:ascii="Times New Roman" w:hAnsi="Times New Roman" w:eastAsia="方正仿宋_GBK" w:cs="方正仿宋_GBK"/>
          <w:color w:val="auto"/>
          <w:w w:val="90"/>
          <w:sz w:val="32"/>
        </w:rPr>
        <w:t>合同编号：</w:t>
      </w:r>
      <w:r>
        <w:rPr>
          <w:rFonts w:ascii="Times New Roman" w:hAnsi="Times New Roman" w:eastAsia="方正仿宋_GBK" w:cs="方正仿宋_GBK"/>
          <w:color w:val="auto"/>
          <w:w w:val="90"/>
          <w:sz w:val="32"/>
          <w:u w:val="single"/>
        </w:rPr>
        <w:t>C+出让部门行政区划代码十年份＋3位顺序码</w:t>
      </w:r>
    </w:p>
    <w:p>
      <w:pPr>
        <w:pStyle w:val="2"/>
        <w:kinsoku w:val="0"/>
        <w:overflowPunct/>
        <w:spacing w:line="600" w:lineRule="exact"/>
        <w:ind w:firstLine="540" w:firstLineChars="200"/>
        <w:jc w:val="center"/>
        <w:rPr>
          <w:rFonts w:hint="default" w:ascii="Times New Roman" w:hAnsi="Times New Roman" w:eastAsia="方正仿宋_GBK" w:cs="方正仿宋_GBK"/>
          <w:color w:val="auto"/>
          <w:sz w:val="27"/>
        </w:rPr>
      </w:pPr>
    </w:p>
    <w:p>
      <w:pPr>
        <w:pStyle w:val="2"/>
        <w:kinsoku w:val="0"/>
        <w:overflowPunct/>
        <w:spacing w:line="600" w:lineRule="exact"/>
        <w:ind w:firstLine="640" w:firstLineChars="200"/>
        <w:jc w:val="center"/>
        <w:rPr>
          <w:rFonts w:hint="default" w:ascii="方正仿宋_GBK" w:hAnsi="方正仿宋_GBK" w:eastAsia="方正仿宋_GBK" w:cs="方正仿宋_GBK"/>
          <w:color w:val="auto"/>
          <w:sz w:val="32"/>
          <w:szCs w:val="32"/>
        </w:rPr>
      </w:pPr>
    </w:p>
    <w:p>
      <w:pPr>
        <w:jc w:val="center"/>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sz w:val="32"/>
          <w:szCs w:val="36"/>
          <w:u w:val="single"/>
        </w:rPr>
        <w:t>（南川区大有镇大一村建筑石料用灰岩矿</w:t>
      </w:r>
      <w:r>
        <w:rPr>
          <w:rFonts w:hint="eastAsia" w:ascii="方正楷体_GBK" w:hAnsi="方正楷体_GBK" w:eastAsia="方正楷体_GBK" w:cs="方正楷体_GBK"/>
          <w:color w:val="auto"/>
          <w:sz w:val="32"/>
          <w:szCs w:val="36"/>
          <w:u w:val="single"/>
          <w:lang w:eastAsia="zh-CN"/>
        </w:rPr>
        <w:t>采矿权出让</w:t>
      </w:r>
      <w:r>
        <w:rPr>
          <w:rFonts w:hint="eastAsia" w:ascii="方正楷体_GBK" w:hAnsi="方正楷体_GBK" w:eastAsia="方正楷体_GBK" w:cs="方正楷体_GBK"/>
          <w:color w:val="auto"/>
          <w:sz w:val="32"/>
          <w:szCs w:val="36"/>
          <w:u w:val="single"/>
        </w:rPr>
        <w:t>）</w:t>
      </w:r>
    </w:p>
    <w:p>
      <w:pPr>
        <w:jc w:val="center"/>
        <w:rPr>
          <w:rFonts w:hint="default"/>
          <w:color w:val="auto"/>
        </w:rPr>
      </w:pPr>
      <w:r>
        <w:rPr>
          <w:rFonts w:ascii="方正小标宋_GBK" w:hAnsi="方正小标宋_GBK" w:eastAsia="方正小标宋_GBK" w:cs="方正小标宋_GBK"/>
          <w:color w:val="auto"/>
          <w:sz w:val="54"/>
          <w:szCs w:val="54"/>
        </w:rPr>
        <w:t>采矿权出让合同</w:t>
      </w:r>
    </w:p>
    <w:p>
      <w:pPr>
        <w:jc w:val="center"/>
        <w:rPr>
          <w:rFonts w:hint="eastAsia" w:ascii="方正楷体_GBK" w:hAnsi="方正楷体_GBK" w:eastAsia="方正楷体_GBK" w:cs="方正楷体_GBK"/>
          <w:color w:val="auto"/>
          <w:spacing w:val="-10"/>
        </w:rPr>
      </w:pPr>
      <w:r>
        <w:rPr>
          <w:rFonts w:hint="eastAsia" w:ascii="方正楷体_GBK" w:hAnsi="方正楷体_GBK" w:eastAsia="方正楷体_GBK" w:cs="方正楷体_GBK"/>
          <w:color w:val="auto"/>
          <w:sz w:val="32"/>
          <w:szCs w:val="36"/>
        </w:rPr>
        <w:t>（</w:t>
      </w:r>
      <w:r>
        <w:rPr>
          <w:rFonts w:hint="eastAsia" w:ascii="方正楷体_GBK" w:hAnsi="方正楷体_GBK" w:eastAsia="方正楷体_GBK" w:cs="方正楷体_GBK"/>
          <w:color w:val="auto"/>
          <w:sz w:val="32"/>
          <w:szCs w:val="36"/>
          <w:lang w:val="en-US" w:eastAsia="zh-CN"/>
        </w:rPr>
        <w:t>临时</w:t>
      </w:r>
      <w:r>
        <w:rPr>
          <w:rFonts w:hint="eastAsia" w:ascii="方正楷体_GBK" w:hAnsi="方正楷体_GBK" w:eastAsia="方正楷体_GBK" w:cs="方正楷体_GBK"/>
          <w:color w:val="auto"/>
          <w:sz w:val="32"/>
          <w:szCs w:val="36"/>
        </w:rPr>
        <w:t>示范文本）</w:t>
      </w:r>
    </w:p>
    <w:p>
      <w:pPr>
        <w:pStyle w:val="2"/>
        <w:kinsoku w:val="0"/>
        <w:overflowPunct/>
        <w:spacing w:line="600" w:lineRule="exact"/>
        <w:ind w:firstLine="560" w:firstLineChars="200"/>
        <w:rPr>
          <w:rFonts w:hint="default" w:ascii="Times New Roman" w:hAnsi="Times New Roman" w:eastAsia="仿宋_GB2312"/>
          <w:color w:val="auto"/>
        </w:rPr>
      </w:pPr>
    </w:p>
    <w:p>
      <w:pPr>
        <w:pStyle w:val="2"/>
        <w:kinsoku w:val="0"/>
        <w:overflowPunct/>
        <w:spacing w:line="600" w:lineRule="exact"/>
        <w:ind w:firstLine="560" w:firstLineChars="200"/>
        <w:rPr>
          <w:rFonts w:hint="default" w:ascii="Times New Roman" w:hAnsi="Times New Roman" w:eastAsia="仿宋_GB2312"/>
          <w:color w:val="auto"/>
        </w:rPr>
      </w:pPr>
    </w:p>
    <w:p>
      <w:pPr>
        <w:pStyle w:val="2"/>
        <w:kinsoku w:val="0"/>
        <w:overflowPunct/>
        <w:spacing w:line="600" w:lineRule="exact"/>
        <w:ind w:firstLine="560" w:firstLineChars="200"/>
        <w:rPr>
          <w:rFonts w:hint="default" w:ascii="Times New Roman" w:hAnsi="Times New Roman" w:eastAsia="仿宋_GB2312"/>
          <w:color w:val="auto"/>
        </w:rPr>
      </w:pPr>
    </w:p>
    <w:p>
      <w:pPr>
        <w:pStyle w:val="2"/>
        <w:tabs>
          <w:tab w:val="left" w:pos="5053"/>
          <w:tab w:val="left" w:pos="6661"/>
        </w:tabs>
        <w:kinsoku w:val="0"/>
        <w:overflowPunct/>
        <w:spacing w:line="600" w:lineRule="exact"/>
        <w:ind w:firstLine="672"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w w:val="105"/>
          <w:sz w:val="32"/>
          <w:szCs w:val="32"/>
        </w:rPr>
        <w:t>甲方（出让人</w:t>
      </w:r>
      <w:r>
        <w:rPr>
          <w:rFonts w:ascii="Times New Roman" w:hAnsi="Times New Roman" w:eastAsia="方正仿宋_GBK" w:cs="方正仿宋_GBK"/>
          <w:color w:val="auto"/>
          <w:spacing w:val="-5"/>
          <w:w w:val="105"/>
          <w:sz w:val="32"/>
          <w:szCs w:val="32"/>
        </w:rPr>
        <w:t>）</w:t>
      </w:r>
      <w:r>
        <w:rPr>
          <w:rFonts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u w:val="single"/>
          <w:lang w:eastAsia="zh-CN"/>
        </w:rPr>
        <w:t>重庆市南川区规划和自然资源局</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住</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所：</w:t>
      </w:r>
      <w:r>
        <w:rPr>
          <w:rFonts w:hint="eastAsia" w:ascii="Times New Roman" w:hAnsi="Times New Roman" w:eastAsia="方正仿宋_GBK" w:cs="方正仿宋_GBK"/>
          <w:color w:val="auto"/>
          <w:sz w:val="32"/>
          <w:szCs w:val="32"/>
          <w:u w:val="single"/>
        </w:rPr>
        <w:t>重庆市南川区南大街89号</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法定代表人：</w:t>
      </w:r>
      <w:r>
        <w:rPr>
          <w:rFonts w:hint="eastAsia" w:ascii="Times New Roman" w:hAnsi="Times New Roman" w:eastAsia="方正仿宋_GBK" w:cs="方正仿宋_GBK"/>
          <w:color w:val="auto"/>
          <w:sz w:val="32"/>
          <w:szCs w:val="32"/>
          <w:u w:val="single"/>
          <w:lang w:eastAsia="zh-CN"/>
        </w:rPr>
        <w:t>黄美均</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rPr>
          <w:rFonts w:hint="default" w:ascii="Times New Roman" w:hAnsi="Times New Roman" w:eastAsia="方正仿宋_GBK" w:cs="方正仿宋_GBK"/>
          <w:color w:val="auto"/>
          <w:sz w:val="32"/>
          <w:szCs w:val="32"/>
        </w:rPr>
      </w:pPr>
    </w:p>
    <w:p>
      <w:pPr>
        <w:pStyle w:val="2"/>
        <w:kinsoku w:val="0"/>
        <w:overflowPunct/>
        <w:spacing w:line="600" w:lineRule="exact"/>
        <w:ind w:firstLine="640" w:firstLineChars="200"/>
        <w:rPr>
          <w:rFonts w:hint="default" w:ascii="Times New Roman" w:hAnsi="Times New Roman" w:eastAsia="方正仿宋_GBK" w:cs="方正仿宋_GBK"/>
          <w:color w:val="auto"/>
          <w:sz w:val="32"/>
          <w:szCs w:val="32"/>
        </w:rPr>
      </w:pPr>
    </w:p>
    <w:p>
      <w:pPr>
        <w:pStyle w:val="2"/>
        <w:tabs>
          <w:tab w:val="left" w:pos="3398"/>
          <w:tab w:val="left" w:pos="6642"/>
          <w:tab w:val="left" w:pos="6694"/>
        </w:tabs>
        <w:kinsoku w:val="0"/>
        <w:overflowPunct/>
        <w:spacing w:line="600" w:lineRule="exact"/>
        <w:ind w:left="296" w:right="3687" w:firstLine="640" w:firstLineChars="200"/>
        <w:rPr>
          <w:rFonts w:hint="default" w:ascii="Times New Roman" w:hAnsi="Times New Roman" w:eastAsia="方正仿宋_GBK" w:cs="方正仿宋_GBK"/>
          <w:color w:val="auto"/>
          <w:sz w:val="32"/>
          <w:szCs w:val="32"/>
          <w:u w:val="single" w:color="000000"/>
        </w:rPr>
      </w:pPr>
    </w:p>
    <w:p>
      <w:pPr>
        <w:pStyle w:val="2"/>
        <w:tabs>
          <w:tab w:val="left" w:pos="5053"/>
          <w:tab w:val="left" w:pos="6661"/>
        </w:tabs>
        <w:kinsoku w:val="0"/>
        <w:overflowPunct/>
        <w:spacing w:line="600" w:lineRule="exact"/>
        <w:ind w:firstLine="664"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pacing w:val="-2"/>
          <w:w w:val="105"/>
          <w:sz w:val="32"/>
          <w:szCs w:val="32"/>
        </w:rPr>
        <w:t>乙方（受让人）</w:t>
      </w:r>
      <w:r>
        <w:rPr>
          <w:rFonts w:ascii="Times New Roman" w:hAnsi="Times New Roman" w:eastAsia="方正仿宋_GBK" w:cs="方正仿宋_GBK"/>
          <w:color w:val="auto"/>
          <w:sz w:val="32"/>
          <w:szCs w:val="32"/>
        </w:rPr>
        <w:t>：</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64"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pacing w:val="-2"/>
          <w:w w:val="105"/>
          <w:sz w:val="32"/>
          <w:szCs w:val="32"/>
        </w:rPr>
        <w:t>统一社会信用代码：</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住</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所：</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spacing w:line="600" w:lineRule="exact"/>
        <w:ind w:firstLine="640" w:firstLineChars="200"/>
        <w:rPr>
          <w:rFonts w:hint="default" w:ascii="Times New Roman" w:hAnsi="Times New Roman" w:eastAsia="仿宋_GB2312"/>
          <w:color w:val="auto"/>
          <w:sz w:val="32"/>
          <w:szCs w:val="32"/>
          <w:u w:val="single" w:color="000000"/>
        </w:rPr>
      </w:pPr>
      <w:r>
        <w:rPr>
          <w:rFonts w:ascii="Times New Roman" w:hAnsi="Times New Roman" w:eastAsia="方正仿宋_GBK" w:cs="方正仿宋_GBK"/>
          <w:color w:val="auto"/>
          <w:sz w:val="32"/>
          <w:szCs w:val="32"/>
        </w:rPr>
        <w:t>法定代表人：</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根据《中华人民共和国矿产资源法》</w:t>
      </w:r>
      <w:r>
        <w:rPr>
          <w:rFonts w:hint="eastAsia" w:ascii="Times New Roman" w:hAnsi="Times New Roman" w:eastAsia="方正仿宋_GBK" w:cs="Times New Roman"/>
          <w:color w:val="auto"/>
          <w:sz w:val="32"/>
          <w:szCs w:val="32"/>
          <w:lang w:eastAsia="zh-CN"/>
        </w:rPr>
        <w:t>《矿业权出让收益征收办法》</w:t>
      </w:r>
      <w:r>
        <w:rPr>
          <w:rFonts w:hint="default" w:ascii="Times New Roman" w:hAnsi="Times New Roman" w:eastAsia="方正仿宋_GBK" w:cs="Times New Roman"/>
          <w:color w:val="auto"/>
          <w:sz w:val="32"/>
          <w:szCs w:val="32"/>
        </w:rPr>
        <w:t>等相关规定，甲乙双方经协商一致订立本合同。</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sz w:val="32"/>
          <w:szCs w:val="32"/>
          <w:lang w:val="en-US" w:eastAsia="zh-CN"/>
        </w:rPr>
        <w:t xml:space="preserve"> 采矿权</w:t>
      </w:r>
      <w:r>
        <w:rPr>
          <w:rFonts w:ascii="Times New Roman" w:hAnsi="Times New Roman" w:eastAsia="方正仿宋_GBK" w:cs="方正仿宋_GBK"/>
          <w:color w:val="auto"/>
          <w:sz w:val="32"/>
          <w:szCs w:val="32"/>
        </w:rPr>
        <w:t>基本情况</w:t>
      </w:r>
    </w:p>
    <w:p>
      <w:pPr>
        <w:pStyle w:val="2"/>
        <w:kinsoku w:val="0"/>
        <w:overflowPunct/>
        <w:spacing w:line="600" w:lineRule="exact"/>
        <w:ind w:firstLine="640" w:firstLineChars="200"/>
        <w:jc w:val="both"/>
        <w:rPr>
          <w:rFonts w:hint="eastAsia" w:ascii="Times New Roman" w:hAnsi="Times New Roman" w:eastAsia="方正仿宋_GBK" w:cs="方正仿宋_GBK"/>
          <w:color w:val="auto"/>
          <w:sz w:val="32"/>
          <w:szCs w:val="32"/>
          <w:lang w:eastAsia="zh-CN"/>
        </w:rPr>
      </w:pPr>
      <w:r>
        <w:rPr>
          <w:rFonts w:ascii="Times New Roman" w:hAnsi="Times New Roman" w:eastAsia="方正仿宋_GBK" w:cs="方正仿宋_GBK"/>
          <w:color w:val="auto"/>
          <w:sz w:val="32"/>
          <w:szCs w:val="32"/>
        </w:rPr>
        <w:t>（一）矿山名称：</w:t>
      </w:r>
      <w:r>
        <w:rPr>
          <w:rFonts w:hint="eastAsia" w:ascii="Times New Roman" w:hAnsi="Times New Roman" w:eastAsia="方正仿宋_GBK" w:cs="方正仿宋_GBK"/>
          <w:color w:val="auto"/>
          <w:sz w:val="32"/>
          <w:szCs w:val="32"/>
          <w:u w:val="single"/>
        </w:rPr>
        <w:t>南川区大有镇大一村建筑石料用灰岩矿</w:t>
      </w:r>
      <w:r>
        <w:rPr>
          <w:rFonts w:hint="eastAsia" w:ascii="Times New Roman" w:hAnsi="Times New Roman" w:eastAsia="方正仿宋_GBK" w:cs="方正仿宋_GBK"/>
          <w:color w:val="auto"/>
          <w:sz w:val="32"/>
          <w:szCs w:val="32"/>
          <w:u w:val="single"/>
        </w:rPr>
        <w:tab/>
      </w:r>
      <w:r>
        <w:rPr>
          <w:rFonts w:hint="eastAsia" w:ascii="Times New Roman" w:hAnsi="Times New Roman" w:eastAsia="方正仿宋_GBK" w:cs="方正仿宋_GBK"/>
          <w:color w:val="auto"/>
          <w:sz w:val="32"/>
          <w:szCs w:val="32"/>
          <w:u w:val="single"/>
          <w:lang w:eastAsia="zh-CN"/>
        </w:rPr>
        <w:t>（暂定名）</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u w:val="single"/>
        </w:rPr>
      </w:pPr>
      <w:r>
        <w:rPr>
          <w:rFonts w:ascii="Times New Roman" w:hAnsi="Times New Roman" w:eastAsia="方正仿宋_GBK" w:cs="方正仿宋_GBK"/>
          <w:color w:val="auto"/>
          <w:sz w:val="32"/>
          <w:szCs w:val="32"/>
        </w:rPr>
        <w:t>（二）开采矿种：</w:t>
      </w:r>
      <w:r>
        <w:rPr>
          <w:rFonts w:hint="eastAsia" w:ascii="Times New Roman" w:hAnsi="Times New Roman" w:eastAsia="方正仿宋_GBK" w:cs="方正仿宋_GBK"/>
          <w:color w:val="auto"/>
          <w:sz w:val="32"/>
          <w:szCs w:val="32"/>
          <w:u w:val="single"/>
        </w:rPr>
        <w:t>建筑石料用灰岩</w:t>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u w:val="single"/>
        </w:rPr>
      </w:pPr>
      <w:r>
        <w:rPr>
          <w:rFonts w:ascii="Times New Roman" w:hAnsi="Times New Roman" w:eastAsia="方正仿宋_GBK" w:cs="方正仿宋_GBK"/>
          <w:color w:val="auto"/>
          <w:sz w:val="32"/>
          <w:szCs w:val="32"/>
        </w:rPr>
        <w:t>（三）地理位置（所在行政区域）：</w:t>
      </w:r>
      <w:r>
        <w:rPr>
          <w:rFonts w:hint="eastAsia" w:ascii="Times New Roman" w:hAnsi="Times New Roman" w:eastAsia="方正仿宋_GBK" w:cs="方正仿宋_GBK"/>
          <w:color w:val="auto"/>
          <w:sz w:val="32"/>
          <w:szCs w:val="32"/>
          <w:u w:val="single"/>
        </w:rPr>
        <w:t xml:space="preserve">重庆市南川区大有镇大一社区居民委员会第四居民小组 </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（四）</w:t>
      </w:r>
      <w:r>
        <w:rPr>
          <w:rFonts w:ascii="Times New Roman" w:hAnsi="Times New Roman" w:eastAsia="方正仿宋_GBK" w:cs="方正仿宋_GBK"/>
          <w:color w:val="auto"/>
          <w:sz w:val="32"/>
          <w:szCs w:val="32"/>
          <w:highlight w:val="none"/>
        </w:rPr>
        <w:t>资源量/探明地质储量：</w:t>
      </w:r>
      <w:r>
        <w:rPr>
          <w:rFonts w:hint="eastAsia" w:ascii="Times New Roman" w:hAnsi="Times New Roman" w:eastAsia="方正仿宋_GBK" w:cs="方正仿宋_GBK"/>
          <w:color w:val="auto"/>
          <w:sz w:val="32"/>
          <w:szCs w:val="32"/>
          <w:u w:val="single"/>
        </w:rPr>
        <w:t xml:space="preserve">771.3万吨  </w:t>
      </w:r>
      <w:r>
        <w:rPr>
          <w:rFonts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u w:val="single"/>
          <w:lang w:val="en-US" w:eastAsia="zh-CN"/>
        </w:rPr>
        <w:t xml:space="preserve">                    </w:t>
      </w:r>
      <w:r>
        <w:rPr>
          <w:rFonts w:ascii="Times New Roman" w:hAnsi="Times New Roman" w:eastAsia="方正仿宋_GBK" w:cs="方正仿宋_GBK"/>
          <w:color w:val="auto"/>
          <w:sz w:val="32"/>
          <w:szCs w:val="32"/>
          <w:u w:val="single"/>
        </w:rPr>
        <w:t xml:space="preserve">      </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（五）面</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积：</w:t>
      </w:r>
      <w:r>
        <w:rPr>
          <w:rFonts w:ascii="Times New Roman" w:hAnsi="Times New Roman" w:eastAsia="仿宋_GB2312"/>
          <w:sz w:val="32"/>
          <w:szCs w:val="32"/>
          <w:u w:val="single"/>
        </w:rPr>
        <w:t>0.0764</w:t>
      </w:r>
      <w:r>
        <w:rPr>
          <w:rFonts w:ascii="Times New Roman" w:hAnsi="Times New Roman" w:eastAsia="方正仿宋_GBK" w:cs="方正仿宋_GBK"/>
          <w:color w:val="auto"/>
          <w:sz w:val="32"/>
          <w:szCs w:val="32"/>
        </w:rPr>
        <w:t>平方千米</w:t>
      </w:r>
    </w:p>
    <w:tbl>
      <w:tblPr>
        <w:tblStyle w:val="7"/>
        <w:tblpPr w:leftFromText="180" w:rightFromText="180" w:vertAnchor="text" w:horzAnchor="page" w:tblpXSpec="center" w:tblpY="600"/>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08"/>
        <w:gridCol w:w="1864"/>
        <w:gridCol w:w="830"/>
        <w:gridCol w:w="155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拐点</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X坐标</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Y坐标</w:t>
            </w:r>
          </w:p>
        </w:tc>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拐点</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X坐标</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3205847.973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36435498.560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8</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3205519.934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36435530.737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2</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3205848.989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36435520.965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9</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3205504.003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36435461.626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3</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3205814.876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36435651.497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10</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3205456.000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36435355.502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4</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3205770.096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36435664.383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11</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3205525.549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36435319.541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5</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3205706.513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36435562.285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12</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3205557.353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36435262.528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6</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3205626.213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36435562.467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13</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3205658.885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36435332.442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7</w:t>
            </w:r>
          </w:p>
        </w:tc>
        <w:tc>
          <w:tcPr>
            <w:tcW w:w="180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3205557.631 </w:t>
            </w:r>
          </w:p>
        </w:tc>
        <w:tc>
          <w:tcPr>
            <w:tcW w:w="186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36435509.364 </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黑体_GBK"/>
                <w:sz w:val="24"/>
                <w:szCs w:val="24"/>
              </w:rPr>
              <w:t>14</w:t>
            </w:r>
          </w:p>
        </w:tc>
        <w:tc>
          <w:tcPr>
            <w:tcW w:w="155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3205741.858 </w:t>
            </w:r>
          </w:p>
        </w:tc>
        <w:tc>
          <w:tcPr>
            <w:tcW w:w="166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default" w:ascii="Times New Roman" w:hAnsi="Times New Roman" w:eastAsia="方正仿宋_GBK" w:cs="Times New Roman"/>
                <w:color w:val="auto"/>
                <w:kern w:val="0"/>
                <w:sz w:val="28"/>
                <w:szCs w:val="28"/>
              </w:rPr>
            </w:pPr>
            <w:r>
              <w:rPr>
                <w:rFonts w:ascii="Times New Roman" w:hAnsi="Times New Roman" w:eastAsia="方正仿宋_GBK"/>
                <w:sz w:val="24"/>
                <w:szCs w:val="24"/>
              </w:rPr>
              <w:t xml:space="preserve">36435394.858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519"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bidi="ar-SA"/>
              </w:rPr>
              <w:t>注：2000国家大地坐标系</w:t>
            </w:r>
          </w:p>
        </w:tc>
      </w:tr>
    </w:tbl>
    <w:p>
      <w:pPr>
        <w:pStyle w:val="2"/>
        <w:kinsoku w:val="0"/>
        <w:overflowPunct/>
        <w:spacing w:line="600" w:lineRule="exact"/>
        <w:ind w:left="638" w:leftChars="290" w:firstLine="0" w:firstLineChars="0"/>
        <w:jc w:val="both"/>
        <w:rPr>
          <w:rFonts w:hint="default" w:ascii="Times New Roman" w:hAnsi="Times New Roman" w:eastAsia="方正仿宋_GBK" w:cs="Times New Roman"/>
          <w:color w:val="auto"/>
          <w:sz w:val="32"/>
          <w:szCs w:val="32"/>
          <w:u w:val="single"/>
        </w:rPr>
      </w:pPr>
      <w:r>
        <w:rPr>
          <w:rFonts w:ascii="Times New Roman" w:hAnsi="Times New Roman" w:eastAsia="方正仿宋_GBK" w:cs="方正仿宋_GBK"/>
          <w:color w:val="auto"/>
          <w:sz w:val="32"/>
          <w:szCs w:val="32"/>
        </w:rPr>
        <w:t>（六）开采区域坐标</w:t>
      </w:r>
      <w:r>
        <w:rPr>
          <w:rFonts w:hint="eastAsia" w:ascii="Times New Roman" w:hAnsi="Times New Roman" w:eastAsia="方正仿宋_GBK" w:cs="方正仿宋_GBK"/>
          <w:color w:val="auto"/>
          <w:sz w:val="32"/>
          <w:szCs w:val="32"/>
          <w:lang w:val="en-US" w:eastAsia="zh-CN"/>
        </w:rPr>
        <w:t>（可另附页）</w:t>
      </w:r>
      <w:r>
        <w:rPr>
          <w:rFonts w:hint="default" w:ascii="Times New Roman" w:hAnsi="Times New Roman" w:eastAsia="方正仿宋_GBK" w:cs="Times New Roman"/>
          <w:color w:val="auto"/>
          <w:sz w:val="32"/>
          <w:szCs w:val="32"/>
        </w:rPr>
        <w:t>：</w:t>
      </w:r>
    </w:p>
    <w:p>
      <w:pPr>
        <w:pStyle w:val="2"/>
        <w:numPr>
          <w:ilvl w:val="0"/>
          <w:numId w:val="2"/>
        </w:numPr>
        <w:kinsoku w:val="0"/>
        <w:overflowPunct/>
        <w:spacing w:line="600" w:lineRule="exact"/>
        <w:ind w:firstLine="640" w:firstLineChars="200"/>
        <w:jc w:val="both"/>
        <w:rPr>
          <w:rFonts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开采标高：</w:t>
      </w:r>
      <w:r>
        <w:rPr>
          <w:rFonts w:hint="eastAsia" w:ascii="Times New Roman" w:hAnsi="Times New Roman"/>
          <w:color w:val="252525"/>
          <w:sz w:val="32"/>
          <w:szCs w:val="32"/>
          <w:u w:val="single"/>
        </w:rPr>
        <w:t>+ 936</w:t>
      </w:r>
      <w:r>
        <w:rPr>
          <w:rFonts w:ascii="Times New Roman" w:hAnsi="Times New Roman" w:eastAsia="方正仿宋_GBK" w:cs="方正仿宋_GBK"/>
          <w:color w:val="auto"/>
          <w:sz w:val="32"/>
          <w:szCs w:val="32"/>
        </w:rPr>
        <w:t>米至</w:t>
      </w:r>
      <w:r>
        <w:rPr>
          <w:rFonts w:hint="eastAsia" w:ascii="Times New Roman" w:hAnsi="Times New Roman"/>
          <w:color w:val="252525"/>
          <w:sz w:val="32"/>
          <w:szCs w:val="32"/>
          <w:u w:val="single"/>
        </w:rPr>
        <w:t>+860</w:t>
      </w:r>
      <w:r>
        <w:rPr>
          <w:rFonts w:ascii="Times New Roman" w:hAnsi="Times New Roman" w:eastAsia="方正仿宋_GBK" w:cs="方正仿宋_GBK"/>
          <w:color w:val="auto"/>
          <w:sz w:val="32"/>
          <w:szCs w:val="32"/>
        </w:rPr>
        <w:t>米</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出让方式</w:t>
      </w:r>
      <w:r>
        <w:rPr>
          <w:rFonts w:ascii="Times New Roman" w:hAnsi="Times New Roman" w:eastAsia="方正仿宋_GBK" w:cs="方正仿宋_GBK"/>
          <w:color w:val="auto"/>
          <w:sz w:val="32"/>
          <w:szCs w:val="32"/>
          <w:u w:val="none"/>
        </w:rPr>
        <w:t>：</w:t>
      </w:r>
      <w:r>
        <w:rPr>
          <w:rFonts w:ascii="Times New Roman" w:hAnsi="Times New Roman" w:eastAsia="方正仿宋_GBK" w:cs="方正仿宋_GBK"/>
          <w:color w:val="auto"/>
          <w:sz w:val="32"/>
          <w:szCs w:val="32"/>
          <w:u w:val="none"/>
        </w:rPr>
        <w:sym w:font="Wingdings" w:char="00A8"/>
      </w:r>
      <w:r>
        <w:rPr>
          <w:rFonts w:ascii="Times New Roman" w:hAnsi="Times New Roman" w:eastAsia="方正仿宋_GBK" w:cs="方正仿宋_GBK"/>
          <w:color w:val="auto"/>
          <w:sz w:val="32"/>
          <w:szCs w:val="32"/>
          <w:u w:val="none"/>
        </w:rPr>
        <w:t xml:space="preserve">招标  </w:t>
      </w:r>
      <w:r>
        <w:rPr>
          <w:rFonts w:ascii="Times New Roman" w:hAnsi="Times New Roman" w:eastAsia="方正仿宋_GBK" w:cs="方正仿宋_GBK"/>
          <w:color w:val="auto"/>
          <w:sz w:val="32"/>
          <w:szCs w:val="32"/>
          <w:u w:val="none"/>
        </w:rPr>
        <w:sym w:font="Wingdings" w:char="00FE"/>
      </w:r>
      <w:r>
        <w:rPr>
          <w:rFonts w:ascii="Times New Roman" w:hAnsi="Times New Roman" w:eastAsia="方正仿宋_GBK" w:cs="方正仿宋_GBK"/>
          <w:color w:val="auto"/>
          <w:sz w:val="32"/>
          <w:szCs w:val="32"/>
          <w:u w:val="none"/>
        </w:rPr>
        <w:t xml:space="preserve">拍卖  </w:t>
      </w:r>
      <w:r>
        <w:rPr>
          <w:rFonts w:ascii="Times New Roman" w:hAnsi="Times New Roman" w:eastAsia="方正仿宋_GBK" w:cs="方正仿宋_GBK"/>
          <w:color w:val="auto"/>
          <w:sz w:val="32"/>
          <w:szCs w:val="32"/>
          <w:u w:val="none"/>
        </w:rPr>
        <w:sym w:font="Wingdings" w:char="00A8"/>
      </w:r>
      <w:r>
        <w:rPr>
          <w:rFonts w:ascii="Times New Roman" w:hAnsi="Times New Roman" w:eastAsia="方正仿宋_GBK" w:cs="方正仿宋_GBK"/>
          <w:color w:val="auto"/>
          <w:sz w:val="32"/>
          <w:szCs w:val="32"/>
          <w:u w:val="none"/>
        </w:rPr>
        <w:t xml:space="preserve">挂牌  </w:t>
      </w:r>
      <w:r>
        <w:rPr>
          <w:rFonts w:ascii="Times New Roman" w:hAnsi="Times New Roman" w:eastAsia="方正仿宋_GBK" w:cs="方正仿宋_GBK"/>
          <w:color w:val="auto"/>
          <w:sz w:val="32"/>
          <w:szCs w:val="32"/>
          <w:u w:val="none"/>
        </w:rPr>
        <w:sym w:font="Wingdings" w:char="00A8"/>
      </w:r>
      <w:r>
        <w:rPr>
          <w:rFonts w:ascii="Times New Roman" w:hAnsi="Times New Roman" w:eastAsia="方正仿宋_GBK" w:cs="方正仿宋_GBK"/>
          <w:color w:val="auto"/>
          <w:sz w:val="32"/>
          <w:szCs w:val="32"/>
          <w:u w:val="none"/>
        </w:rPr>
        <w:t xml:space="preserve">协议 </w:t>
      </w:r>
      <w:r>
        <w:rPr>
          <w:rFonts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w:t>
      </w:r>
      <w:r>
        <w:rPr>
          <w:rFonts w:hint="eastAsia" w:ascii="方正楷体_GBK" w:hAnsi="方正楷体_GBK" w:eastAsia="方正楷体_GBK" w:cs="方正楷体_GBK"/>
          <w:color w:val="auto"/>
          <w:sz w:val="32"/>
          <w:szCs w:val="32"/>
        </w:rPr>
        <w:t>仅用于招标/拍卖/挂牌</w:t>
      </w:r>
      <w:r>
        <w:rPr>
          <w:rFonts w:hint="eastAsia" w:ascii="方正楷体_GBK" w:hAnsi="方正楷体_GBK" w:eastAsia="方正楷体_GBK" w:cs="方正楷体_GBK"/>
          <w:color w:val="auto"/>
          <w:sz w:val="32"/>
          <w:szCs w:val="32"/>
          <w:lang w:val="en-US" w:eastAsia="zh-CN"/>
        </w:rPr>
        <w:t>/协议</w:t>
      </w:r>
      <w:r>
        <w:rPr>
          <w:rFonts w:hint="eastAsia" w:ascii="方正楷体_GBK" w:hAnsi="方正楷体_GBK" w:eastAsia="方正楷体_GBK" w:cs="方正楷体_GBK"/>
          <w:color w:val="auto"/>
          <w:sz w:val="32"/>
          <w:szCs w:val="32"/>
        </w:rPr>
        <w:t>出让采矿权</w:t>
      </w:r>
      <w:r>
        <w:rPr>
          <w:rFonts w:hint="eastAsia" w:ascii="Times New Roman" w:hAnsi="Times New Roman" w:eastAsia="方正仿宋_GBK" w:cs="方正仿宋_GBK"/>
          <w:color w:val="auto"/>
          <w:sz w:val="32"/>
          <w:szCs w:val="32"/>
          <w:lang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采矿权</w:t>
      </w:r>
      <w:r>
        <w:rPr>
          <w:rFonts w:hint="eastAsia" w:ascii="Times New Roman" w:hAnsi="Times New Roman" w:eastAsia="方正仿宋_GBK" w:cs="方正仿宋_GBK"/>
          <w:color w:val="auto"/>
          <w:sz w:val="32"/>
          <w:szCs w:val="32"/>
          <w:lang w:val="en-US" w:eastAsia="zh-CN"/>
        </w:rPr>
        <w:t>的</w:t>
      </w:r>
      <w:r>
        <w:rPr>
          <w:rFonts w:ascii="Times New Roman" w:hAnsi="Times New Roman" w:eastAsia="方正仿宋_GBK" w:cs="方正仿宋_GBK"/>
          <w:color w:val="auto"/>
          <w:sz w:val="32"/>
          <w:szCs w:val="32"/>
        </w:rPr>
        <w:t>期限为</w:t>
      </w:r>
      <w:r>
        <w:rPr>
          <w:rFonts w:hint="default" w:ascii="Times New Roman" w:hAnsi="Times New Roman" w:eastAsia="方正仿宋_GBK" w:cs="方正仿宋_GBK"/>
          <w:color w:val="auto"/>
          <w:sz w:val="32"/>
          <w:szCs w:val="32"/>
          <w:u w:val="single"/>
          <w:lang w:val="en-US"/>
        </w:rPr>
        <w:t>6.6</w:t>
      </w:r>
      <w:r>
        <w:rPr>
          <w:rFonts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eastAsia="zh-CN"/>
        </w:rPr>
        <w:t>，</w:t>
      </w:r>
      <w:r>
        <w:rPr>
          <w:rFonts w:ascii="Times New Roman" w:hAnsi="Times New Roman" w:eastAsia="方正仿宋_GBK" w:cs="方正仿宋_GBK"/>
          <w:color w:val="auto"/>
          <w:sz w:val="32"/>
          <w:szCs w:val="32"/>
        </w:rPr>
        <w:t>采矿权期限届满，登记的开采区域内仍有</w:t>
      </w:r>
      <w:r>
        <w:rPr>
          <w:rFonts w:hint="eastAsia" w:ascii="Times New Roman" w:hAnsi="Times New Roman" w:eastAsia="方正仿宋_GBK" w:cs="方正仿宋_GBK"/>
          <w:b w:val="0"/>
          <w:bCs w:val="0"/>
          <w:color w:val="auto"/>
          <w:sz w:val="32"/>
          <w:szCs w:val="32"/>
          <w:lang w:eastAsia="zh-CN"/>
        </w:rPr>
        <w:t>已完成</w:t>
      </w:r>
      <w:r>
        <w:rPr>
          <w:rFonts w:ascii="Times New Roman" w:hAnsi="Times New Roman" w:eastAsia="方正仿宋_GBK" w:cs="方正仿宋_GBK"/>
          <w:b w:val="0"/>
          <w:bCs w:val="0"/>
          <w:color w:val="auto"/>
          <w:sz w:val="32"/>
          <w:szCs w:val="32"/>
        </w:rPr>
        <w:t>有偿处置</w:t>
      </w:r>
      <w:r>
        <w:rPr>
          <w:rFonts w:hint="eastAsia" w:ascii="Times New Roman" w:hAnsi="Times New Roman" w:eastAsia="方正仿宋_GBK" w:cs="方正仿宋_GBK"/>
          <w:b w:val="0"/>
          <w:bCs w:val="0"/>
          <w:color w:val="auto"/>
          <w:sz w:val="32"/>
          <w:szCs w:val="32"/>
          <w:lang w:eastAsia="zh-CN"/>
        </w:rPr>
        <w:t>且</w:t>
      </w:r>
      <w:r>
        <w:rPr>
          <w:rFonts w:ascii="Times New Roman" w:hAnsi="Times New Roman" w:eastAsia="方正仿宋_GBK" w:cs="方正仿宋_GBK"/>
          <w:color w:val="auto"/>
          <w:sz w:val="32"/>
          <w:szCs w:val="32"/>
        </w:rPr>
        <w:t>可供开采的矿产资源</w:t>
      </w:r>
      <w:r>
        <w:rPr>
          <w:rFonts w:hint="eastAsia" w:ascii="Times New Roman" w:hAnsi="Times New Roman" w:eastAsia="方正仿宋_GBK" w:cs="方正仿宋_GBK"/>
          <w:color w:val="auto"/>
          <w:sz w:val="32"/>
          <w:szCs w:val="32"/>
          <w:lang w:val="en-US" w:eastAsia="zh-CN"/>
        </w:rPr>
        <w:t>的</w:t>
      </w:r>
      <w:r>
        <w:rPr>
          <w:rFonts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可按规定</w:t>
      </w:r>
      <w:r>
        <w:rPr>
          <w:rFonts w:ascii="Times New Roman" w:hAnsi="Times New Roman" w:eastAsia="方正仿宋_GBK" w:cs="方正仿宋_GBK"/>
          <w:color w:val="auto"/>
          <w:sz w:val="32"/>
          <w:szCs w:val="32"/>
        </w:rPr>
        <w:t>续期。</w:t>
      </w:r>
      <w:r>
        <w:rPr>
          <w:rFonts w:hint="eastAsia" w:ascii="Times New Roman" w:hAnsi="Times New Roman" w:eastAsia="方正仿宋_GBK" w:cs="方正仿宋_GBK"/>
          <w:color w:val="auto"/>
          <w:sz w:val="32"/>
          <w:szCs w:val="32"/>
          <w:lang w:val="en-US" w:eastAsia="zh-CN"/>
        </w:rPr>
        <w:t>法律、行政法规另有规定的除外。</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 xml:space="preserve"> 矿业权</w:t>
      </w:r>
      <w:r>
        <w:rPr>
          <w:rFonts w:ascii="Times New Roman" w:hAnsi="Times New Roman" w:eastAsia="方正仿宋_GBK" w:cs="方正仿宋_GBK"/>
          <w:color w:val="auto"/>
          <w:sz w:val="32"/>
          <w:szCs w:val="32"/>
        </w:rPr>
        <w:t>出让收益</w:t>
      </w:r>
    </w:p>
    <w:p>
      <w:pPr>
        <w:pStyle w:val="2"/>
        <w:kinsoku w:val="0"/>
        <w:overflowPunct/>
        <w:spacing w:line="600" w:lineRule="exact"/>
        <w:ind w:firstLine="640" w:firstLineChars="2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（以下仅用于按出让金额形式征收）</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（一）采矿权出让收益为人民币</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r>
        <w:rPr>
          <w:rFonts w:ascii="Times New Roman" w:hAnsi="Times New Roman" w:eastAsia="方正仿宋_GBK" w:cs="方正仿宋_GBK"/>
          <w:color w:val="auto"/>
          <w:sz w:val="32"/>
          <w:szCs w:val="32"/>
        </w:rPr>
        <w:t>元（大写）（¥</w:t>
      </w:r>
      <w:r>
        <w:rPr>
          <w:rFonts w:ascii="Times New Roman" w:hAnsi="Times New Roman" w:eastAsia="方正仿宋_GBK" w:cs="方正仿宋_GBK"/>
          <w:color w:val="auto"/>
          <w:sz w:val="32"/>
          <w:szCs w:val="32"/>
          <w:u w:val="single"/>
        </w:rPr>
        <w:tab/>
      </w:r>
      <w:r>
        <w:rPr>
          <w:rFonts w:ascii="Times New Roman" w:hAnsi="Times New Roman" w:eastAsia="方正仿宋_GBK" w:cs="方正仿宋_GBK"/>
          <w:color w:val="auto"/>
          <w:sz w:val="32"/>
          <w:szCs w:val="32"/>
          <w:u w:val="single"/>
        </w:rPr>
        <w:t xml:space="preserve">   </w:t>
      </w:r>
      <w:r>
        <w:rPr>
          <w:rFonts w:ascii="Times New Roman" w:hAnsi="Times New Roman" w:eastAsia="方正仿宋_GBK" w:cs="方正仿宋_GBK"/>
          <w:color w:val="auto"/>
          <w:sz w:val="32"/>
          <w:szCs w:val="32"/>
        </w:rPr>
        <w:t>元）。</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（二）采矿权出让收益按以下第</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方正仿宋_GBK"/>
          <w:color w:val="auto"/>
          <w:sz w:val="32"/>
          <w:szCs w:val="32"/>
        </w:rPr>
        <w:t>种方式缴纳：</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l．一次性缴清。</w:t>
      </w:r>
      <w:r>
        <w:rPr>
          <w:rFonts w:hint="eastAsia" w:ascii="Times New Roman" w:hAnsi="Times New Roman" w:eastAsia="方正仿宋_GBK" w:cs="Times New Roman"/>
          <w:color w:val="auto"/>
          <w:sz w:val="32"/>
          <w:szCs w:val="32"/>
          <w:lang w:val="en-US" w:eastAsia="zh-CN"/>
        </w:rPr>
        <w:t>乙方应在收到出让收益征收机关开具的缴款通知书之日起30日内缴纳。</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ascii="Times New Roman" w:hAnsi="Times New Roman" w:eastAsia="方正仿宋_GBK" w:cs="方正仿宋_GBK"/>
          <w:color w:val="auto"/>
          <w:sz w:val="32"/>
          <w:szCs w:val="32"/>
        </w:rPr>
        <w:t>2．分期缴纳。首次缴纳人民币</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元（大写）（¥</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乙方应在收到出让收益征收机关开具的缴款通知书之日起30日内缴纳</w:t>
      </w:r>
      <w:r>
        <w:rPr>
          <w:rFonts w:hint="default" w:ascii="Times New Roman" w:hAnsi="Times New Roman" w:eastAsia="方正仿宋_GBK" w:cs="Times New Roman"/>
          <w:color w:val="auto"/>
          <w:sz w:val="32"/>
          <w:szCs w:val="32"/>
        </w:rPr>
        <w:t>；</w:t>
      </w:r>
      <w:r>
        <w:rPr>
          <w:rFonts w:ascii="Times New Roman" w:hAnsi="Times New Roman" w:eastAsia="方正仿宋_GBK" w:cs="方正仿宋_GBK"/>
          <w:color w:val="auto"/>
          <w:sz w:val="32"/>
          <w:szCs w:val="32"/>
        </w:rPr>
        <w:t>剩余部分在采矿权有效期内分</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ascii="Times New Roman" w:hAnsi="Times New Roman" w:eastAsia="方正仿宋_GBK" w:cs="方正仿宋_GBK"/>
          <w:color w:val="auto"/>
          <w:sz w:val="32"/>
          <w:szCs w:val="32"/>
        </w:rPr>
        <w:t>年缴纳，每年</w:t>
      </w:r>
      <w:r>
        <w:rPr>
          <w:rFonts w:ascii="Times New Roman" w:hAnsi="Times New Roman" w:eastAsia="方正仿宋_GBK" w:cs="方正仿宋_GBK"/>
          <w:color w:val="auto"/>
          <w:sz w:val="32"/>
          <w:szCs w:val="32"/>
          <w:u w:val="single"/>
        </w:rPr>
        <w:t>（具体时间）</w:t>
      </w:r>
      <w:r>
        <w:rPr>
          <w:rFonts w:ascii="Times New Roman" w:hAnsi="Times New Roman" w:eastAsia="方正仿宋_GBK" w:cs="方正仿宋_GBK"/>
          <w:color w:val="auto"/>
          <w:sz w:val="32"/>
          <w:szCs w:val="32"/>
        </w:rPr>
        <w:t xml:space="preserve"> 缴纳人民币</w:t>
      </w:r>
      <w:r>
        <w:rPr>
          <w:rFonts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u w:val="single"/>
          <w:lang w:val="en-US" w:eastAsia="zh-CN"/>
        </w:rPr>
        <w:t xml:space="preserve">  </w:t>
      </w:r>
      <w:r>
        <w:rPr>
          <w:rFonts w:ascii="Times New Roman" w:hAnsi="Times New Roman" w:eastAsia="方正仿宋_GBK" w:cs="方正仿宋_GBK"/>
          <w:color w:val="auto"/>
          <w:sz w:val="32"/>
          <w:szCs w:val="32"/>
          <w:u w:val="single"/>
        </w:rPr>
        <w:t xml:space="preserve">  </w:t>
      </w:r>
      <w:r>
        <w:rPr>
          <w:rFonts w:ascii="Times New Roman" w:hAnsi="Times New Roman" w:eastAsia="方正仿宋_GBK" w:cs="方正仿宋_GBK"/>
          <w:color w:val="auto"/>
          <w:sz w:val="32"/>
          <w:szCs w:val="32"/>
        </w:rPr>
        <w:t>元（大写）（¥</w:t>
      </w:r>
      <w:r>
        <w:rPr>
          <w:rFonts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u w:val="single"/>
          <w:lang w:val="en-US" w:eastAsia="zh-CN"/>
        </w:rPr>
        <w:t xml:space="preserve"> </w:t>
      </w:r>
      <w:r>
        <w:rPr>
          <w:rFonts w:ascii="Times New Roman" w:hAnsi="Times New Roman" w:eastAsia="方正仿宋_GBK" w:cs="方正仿宋_GBK"/>
          <w:color w:val="auto"/>
          <w:sz w:val="32"/>
          <w:szCs w:val="32"/>
          <w:u w:val="single"/>
        </w:rPr>
        <w:t xml:space="preserve"> </w:t>
      </w:r>
      <w:r>
        <w:rPr>
          <w:rFonts w:ascii="Times New Roman" w:hAnsi="Times New Roman" w:eastAsia="方正仿宋_GBK" w:cs="方正仿宋_GBK"/>
          <w:color w:val="auto"/>
          <w:sz w:val="32"/>
          <w:szCs w:val="32"/>
        </w:rPr>
        <w:t>元）。</w:t>
      </w:r>
      <w:r>
        <w:rPr>
          <w:rFonts w:hint="eastAsia" w:ascii="方正楷体_GBK" w:hAnsi="方正楷体_GBK" w:eastAsia="方正楷体_GBK" w:cs="方正楷体_GBK"/>
          <w:color w:val="auto"/>
          <w:sz w:val="32"/>
          <w:szCs w:val="32"/>
        </w:rPr>
        <w:t>（仅用于招标/拍卖/挂牌出让采矿权的）</w:t>
      </w:r>
    </w:p>
    <w:p>
      <w:pPr>
        <w:spacing w:line="520" w:lineRule="exact"/>
        <w:ind w:firstLine="636" w:firstLineChars="199"/>
        <w:rPr>
          <w:rFonts w:hint="eastAsia" w:ascii="Times New Roman" w:hAnsi="Times New Roman" w:eastAsia="方正仿宋_GBK" w:cs="方正仿宋_GBK"/>
          <w:i/>
          <w:iCs/>
          <w:color w:val="auto"/>
          <w:sz w:val="32"/>
          <w:szCs w:val="32"/>
          <w:lang w:val="en-US" w:eastAsia="zh-CN" w:bidi="ar-SA"/>
        </w:rPr>
      </w:pPr>
      <w:r>
        <w:rPr>
          <w:rFonts w:hint="eastAsia" w:ascii="Times New Roman" w:hAnsi="Times New Roman" w:eastAsia="方正仿宋_GBK" w:cs="方正仿宋_GBK"/>
          <w:i/>
          <w:iCs/>
          <w:color w:val="auto"/>
          <w:sz w:val="32"/>
          <w:szCs w:val="32"/>
          <w:lang w:val="en-US" w:eastAsia="zh-CN" w:bidi="ar-SA"/>
        </w:rPr>
        <w:t>（分期缴款信息按实际情况填写）</w:t>
      </w:r>
    </w:p>
    <w:p>
      <w:pPr>
        <w:pStyle w:val="2"/>
        <w:kinsoku w:val="0"/>
        <w:overflowPunct/>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方正仿宋_GBK" w:cs="方正仿宋_GBK"/>
          <w:color w:val="auto"/>
          <w:sz w:val="32"/>
          <w:szCs w:val="32"/>
          <w:lang w:val="en-US" w:eastAsia="zh-CN" w:bidi="ar-SA"/>
        </w:rPr>
        <w:t>一次性缴纳和分期缴纳出让收益仅为缴款方式的选择，与采矿权人是否动用或实际动用资源储量无关，合同生效后，缴纳全部出让收益为采矿权人的义务。</w:t>
      </w:r>
    </w:p>
    <w:p>
      <w:pPr>
        <w:pStyle w:val="2"/>
        <w:kinsoku w:val="0"/>
        <w:overflowPunct/>
        <w:spacing w:line="600" w:lineRule="exact"/>
        <w:ind w:firstLine="640" w:firstLineChars="200"/>
        <w:jc w:val="both"/>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lang w:eastAsia="zh-CN"/>
        </w:rPr>
        <w:t>）未经甲方同意，乙方不得动用未有偿处置的资源量。</w:t>
      </w:r>
      <w:r>
        <w:rPr>
          <w:rFonts w:ascii="Times New Roman" w:hAnsi="Times New Roman" w:eastAsia="方正仿宋_GBK" w:cs="方正仿宋_GBK"/>
          <w:color w:val="auto"/>
          <w:sz w:val="32"/>
          <w:szCs w:val="32"/>
        </w:rPr>
        <w:t>如涉及动用采矿权范围内未有偿处置的资源量的，应按规定缴纳采矿权出让收益。</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乙方未按时足额缴纳矿业权出让收益的，</w:t>
      </w:r>
      <w:r>
        <w:rPr>
          <w:rFonts w:hint="default" w:ascii="Times New Roman" w:hAnsi="Times New Roman" w:eastAsia="方正仿宋_GBK" w:cs="Times New Roman"/>
          <w:color w:val="auto"/>
          <w:sz w:val="32"/>
          <w:szCs w:val="32"/>
        </w:rPr>
        <w:t>从</w:t>
      </w:r>
      <w:r>
        <w:rPr>
          <w:rFonts w:hint="eastAsia" w:ascii="Times New Roman" w:hAnsi="Times New Roman" w:eastAsia="方正仿宋_GBK" w:cs="Times New Roman"/>
          <w:color w:val="auto"/>
          <w:sz w:val="32"/>
          <w:szCs w:val="32"/>
          <w:lang w:val="en-US" w:eastAsia="zh-CN"/>
        </w:rPr>
        <w:t>违约</w:t>
      </w:r>
      <w:r>
        <w:rPr>
          <w:rFonts w:hint="default" w:ascii="Times New Roman" w:hAnsi="Times New Roman" w:eastAsia="方正仿宋_GBK" w:cs="Times New Roman"/>
          <w:color w:val="auto"/>
          <w:sz w:val="32"/>
          <w:szCs w:val="32"/>
        </w:rPr>
        <w:t>之日起</w:t>
      </w:r>
      <w:r>
        <w:rPr>
          <w:rFonts w:hint="eastAsia" w:ascii="Times New Roman" w:hAnsi="Times New Roman" w:eastAsia="方正仿宋_GBK" w:cs="Times New Roman"/>
          <w:color w:val="auto"/>
          <w:sz w:val="32"/>
          <w:szCs w:val="32"/>
          <w:lang w:eastAsia="zh-CN"/>
        </w:rPr>
        <w:t>以欠缴金额为基数每日</w:t>
      </w:r>
      <w:r>
        <w:rPr>
          <w:rFonts w:ascii="Times New Roman" w:hAnsi="Times New Roman" w:eastAsia="方正仿宋_GBK" w:cs="方正仿宋_GBK"/>
          <w:color w:val="auto"/>
          <w:sz w:val="32"/>
          <w:szCs w:val="32"/>
        </w:rPr>
        <w:t>加收千分之</w:t>
      </w:r>
      <w:r>
        <w:rPr>
          <w:rFonts w:hint="eastAsia" w:ascii="Times New Roman" w:hAnsi="Times New Roman" w:eastAsia="方正仿宋_GBK" w:cs="方正仿宋_GBK"/>
          <w:color w:val="auto"/>
          <w:sz w:val="32"/>
          <w:szCs w:val="32"/>
          <w:lang w:val="en-US" w:eastAsia="zh-CN"/>
        </w:rPr>
        <w:t>二</w:t>
      </w:r>
      <w:r>
        <w:rPr>
          <w:rFonts w:ascii="Times New Roman" w:hAnsi="Times New Roman" w:eastAsia="方正仿宋_GBK" w:cs="方正仿宋_GBK"/>
          <w:color w:val="auto"/>
          <w:sz w:val="32"/>
          <w:szCs w:val="32"/>
        </w:rPr>
        <w:t>的违约金，加收的违约金不</w:t>
      </w:r>
      <w:r>
        <w:rPr>
          <w:rFonts w:hint="default" w:ascii="Times New Roman" w:hAnsi="Times New Roman" w:eastAsia="方正仿宋_GBK" w:cs="Times New Roman"/>
          <w:color w:val="auto"/>
          <w:sz w:val="32"/>
          <w:szCs w:val="32"/>
        </w:rPr>
        <w:t>超过</w:t>
      </w:r>
      <w:r>
        <w:rPr>
          <w:rFonts w:hint="eastAsia" w:ascii="Times New Roman" w:hAnsi="Times New Roman" w:eastAsia="方正仿宋_GBK" w:cs="Times New Roman"/>
          <w:color w:val="auto"/>
          <w:sz w:val="32"/>
          <w:szCs w:val="32"/>
          <w:lang w:val="en-US" w:eastAsia="zh-CN"/>
        </w:rPr>
        <w:t>欠缴</w:t>
      </w:r>
      <w:r>
        <w:rPr>
          <w:rFonts w:hint="default" w:ascii="Times New Roman" w:hAnsi="Times New Roman" w:eastAsia="方正仿宋_GBK" w:cs="Times New Roman"/>
          <w:color w:val="auto"/>
          <w:sz w:val="32"/>
          <w:szCs w:val="32"/>
        </w:rPr>
        <w:t>金额本金</w:t>
      </w:r>
      <w:r>
        <w:rPr>
          <w:rFonts w:ascii="Times New Roman" w:hAnsi="Times New Roman" w:eastAsia="方正仿宋_GBK" w:cs="方正仿宋_GBK"/>
          <w:color w:val="auto"/>
          <w:sz w:val="32"/>
          <w:szCs w:val="32"/>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楷体_GBK" w:hAnsi="方正楷体_GBK" w:eastAsia="方正楷体_GBK" w:cs="方正楷体_GBK"/>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乙方应按规定签订互不影响和权益保护协议或出具不影响已设矿业权人权益的承诺，严格执行相关安全要求。</w:t>
      </w:r>
      <w:r>
        <w:rPr>
          <w:rFonts w:hint="eastAsia" w:ascii="方正楷体_GBK" w:hAnsi="方正楷体_GBK" w:eastAsia="方正楷体_GBK" w:cs="方正楷体_GBK"/>
          <w:color w:val="auto"/>
          <w:sz w:val="32"/>
          <w:szCs w:val="32"/>
        </w:rPr>
        <w:t>（仅用于招标/拍卖/挂牌/协议出让采矿权</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且开采区域</w:t>
      </w:r>
      <w:r>
        <w:rPr>
          <w:rFonts w:hint="eastAsia" w:ascii="方正楷体_GBK" w:hAnsi="方正楷体_GBK" w:eastAsia="方正楷体_GBK" w:cs="方正楷体_GBK"/>
          <w:color w:val="auto"/>
          <w:sz w:val="32"/>
          <w:szCs w:val="32"/>
        </w:rPr>
        <w:t>与</w:t>
      </w:r>
      <w:r>
        <w:rPr>
          <w:rFonts w:hint="eastAsia" w:ascii="方正楷体_GBK" w:hAnsi="方正楷体_GBK" w:eastAsia="方正楷体_GBK" w:cs="方正楷体_GBK"/>
          <w:color w:val="auto"/>
          <w:sz w:val="32"/>
          <w:szCs w:val="32"/>
          <w:lang w:eastAsia="zh-CN"/>
        </w:rPr>
        <w:t>已</w:t>
      </w:r>
      <w:r>
        <w:rPr>
          <w:rFonts w:hint="eastAsia" w:ascii="方正楷体_GBK" w:hAnsi="方正楷体_GBK" w:eastAsia="方正楷体_GBK" w:cs="方正楷体_GBK"/>
          <w:color w:val="auto"/>
          <w:sz w:val="32"/>
          <w:szCs w:val="32"/>
        </w:rPr>
        <w:t>设矿业权范围重叠）</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u w:val="none"/>
        </w:rPr>
        <w:t>自取得</w:t>
      </w:r>
      <w:r>
        <w:rPr>
          <w:rFonts w:hint="eastAsia" w:ascii="Times New Roman" w:hAnsi="Times New Roman" w:eastAsia="方正仿宋_GBK" w:cs="Times New Roman"/>
          <w:color w:val="auto"/>
          <w:sz w:val="32"/>
          <w:szCs w:val="32"/>
          <w:u w:val="none"/>
          <w:lang w:eastAsia="zh-CN"/>
        </w:rPr>
        <w:t>出让收益征收机关开具的</w:t>
      </w:r>
      <w:r>
        <w:rPr>
          <w:rFonts w:hint="default" w:ascii="Times New Roman" w:hAnsi="Times New Roman" w:eastAsia="方正仿宋_GBK" w:cs="Times New Roman"/>
          <w:color w:val="auto"/>
          <w:sz w:val="32"/>
          <w:szCs w:val="32"/>
          <w:u w:val="none"/>
        </w:rPr>
        <w:t>缴款凭证</w:t>
      </w:r>
      <w:r>
        <w:rPr>
          <w:rFonts w:hint="default" w:ascii="Times New Roman" w:hAnsi="Times New Roman" w:eastAsia="方正仿宋_GBK" w:cs="Times New Roman"/>
          <w:color w:val="auto"/>
          <w:sz w:val="32"/>
          <w:szCs w:val="32"/>
        </w:rPr>
        <w:t>之日起15个工作日内，应</w:t>
      </w:r>
      <w:r>
        <w:rPr>
          <w:rFonts w:hint="eastAsia" w:ascii="Times New Roman" w:hAnsi="Times New Roman" w:eastAsia="方正仿宋_GBK" w:cs="Times New Roman"/>
          <w:color w:val="auto"/>
          <w:sz w:val="32"/>
          <w:szCs w:val="32"/>
          <w:lang w:eastAsia="zh-CN"/>
        </w:rPr>
        <w:t>按矿业权登记管理</w:t>
      </w:r>
      <w:r>
        <w:rPr>
          <w:rFonts w:hint="eastAsia" w:ascii="Times New Roman" w:hAnsi="Times New Roman" w:eastAsia="方正仿宋_GBK" w:cs="Times New Roman"/>
          <w:color w:val="auto"/>
          <w:sz w:val="32"/>
          <w:szCs w:val="32"/>
          <w:lang w:val="en-US" w:eastAsia="zh-CN"/>
        </w:rPr>
        <w:t>相关</w:t>
      </w:r>
      <w:r>
        <w:rPr>
          <w:rFonts w:hint="eastAsia"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向甲方申请办理</w:t>
      </w:r>
      <w:r>
        <w:rPr>
          <w:rFonts w:hint="eastAsia" w:ascii="Times New Roman" w:hAnsi="Times New Roman" w:eastAsia="方正仿宋_GBK" w:cs="Times New Roman"/>
          <w:color w:val="auto"/>
          <w:sz w:val="32"/>
          <w:szCs w:val="32"/>
          <w:lang w:val="en-US" w:eastAsia="zh-CN"/>
        </w:rPr>
        <w:t>采</w:t>
      </w:r>
      <w:r>
        <w:rPr>
          <w:rFonts w:hint="default" w:ascii="Times New Roman" w:hAnsi="Times New Roman" w:eastAsia="方正仿宋_GBK" w:cs="Times New Roman"/>
          <w:color w:val="auto"/>
          <w:sz w:val="32"/>
          <w:szCs w:val="32"/>
        </w:rPr>
        <w:t>矿权登记。</w:t>
      </w:r>
      <w:r>
        <w:rPr>
          <w:rFonts w:hint="eastAsia" w:ascii="方正楷体_GBK" w:hAnsi="方正楷体_GBK" w:eastAsia="方正楷体_GBK" w:cs="方正楷体_GBK"/>
          <w:color w:val="auto"/>
          <w:sz w:val="32"/>
          <w:szCs w:val="32"/>
        </w:rPr>
        <w:t>（仅用于招标/拍卖/挂牌/协议出让采矿权</w:t>
      </w:r>
      <w:r>
        <w:rPr>
          <w:rFonts w:hint="eastAsia" w:ascii="方正楷体_GBK" w:hAnsi="方正楷体_GBK" w:eastAsia="方正楷体_GBK" w:cs="方正楷体_GBK"/>
          <w:color w:val="auto"/>
          <w:sz w:val="32"/>
          <w:szCs w:val="32"/>
          <w:lang w:eastAsia="zh-CN"/>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甲方</w:t>
      </w:r>
      <w:r>
        <w:rPr>
          <w:rFonts w:hint="eastAsia"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对乙方提交</w:t>
      </w:r>
      <w:r>
        <w:rPr>
          <w:rFonts w:hint="eastAsia" w:eastAsia="方正仿宋_GBK" w:cs="Times New Roman"/>
          <w:color w:val="auto"/>
          <w:sz w:val="32"/>
          <w:szCs w:val="32"/>
          <w:lang w:val="en-US" w:eastAsia="zh-CN"/>
        </w:rPr>
        <w:t>的采矿权登记</w:t>
      </w:r>
      <w:r>
        <w:rPr>
          <w:rFonts w:hint="default" w:ascii="Times New Roman" w:hAnsi="Times New Roman" w:eastAsia="方正仿宋_GBK" w:cs="Times New Roman"/>
          <w:color w:val="auto"/>
          <w:sz w:val="32"/>
          <w:szCs w:val="32"/>
        </w:rPr>
        <w:t>申请材料</w:t>
      </w:r>
      <w:r>
        <w:rPr>
          <w:rFonts w:hint="eastAsia" w:eastAsia="方正仿宋_GBK" w:cs="Times New Roman"/>
          <w:color w:val="auto"/>
          <w:sz w:val="32"/>
          <w:szCs w:val="32"/>
          <w:lang w:val="en-US" w:eastAsia="zh-CN"/>
        </w:rPr>
        <w:t>进行审查，</w:t>
      </w:r>
      <w:r>
        <w:rPr>
          <w:rFonts w:hint="default" w:ascii="Times New Roman" w:hAnsi="Times New Roman" w:eastAsia="方正仿宋_GBK" w:cs="Times New Roman"/>
          <w:color w:val="auto"/>
          <w:sz w:val="32"/>
          <w:szCs w:val="32"/>
        </w:rPr>
        <w:t>符合</w:t>
      </w:r>
      <w:r>
        <w:rPr>
          <w:rFonts w:hint="eastAsia" w:eastAsia="方正仿宋_GBK" w:cs="Times New Roman"/>
          <w:color w:val="auto"/>
          <w:sz w:val="32"/>
          <w:szCs w:val="32"/>
          <w:lang w:val="en-US" w:eastAsia="zh-CN"/>
        </w:rPr>
        <w:t>矿业权登记管理相关规定的</w:t>
      </w:r>
      <w:r>
        <w:rPr>
          <w:rFonts w:hint="default" w:ascii="Times New Roman" w:hAnsi="Times New Roman" w:eastAsia="方正仿宋_GBK" w:cs="Times New Roman"/>
          <w:color w:val="auto"/>
          <w:sz w:val="32"/>
          <w:szCs w:val="32"/>
        </w:rPr>
        <w:t>，应</w:t>
      </w:r>
      <w:r>
        <w:rPr>
          <w:rFonts w:hint="eastAsia" w:ascii="Times New Roman" w:hAnsi="Times New Roman" w:eastAsia="方正仿宋_GBK" w:cs="Times New Roman"/>
          <w:color w:val="auto"/>
          <w:sz w:val="32"/>
          <w:szCs w:val="32"/>
          <w:lang w:eastAsia="zh-CN"/>
        </w:rPr>
        <w:t>当</w:t>
      </w:r>
      <w:r>
        <w:rPr>
          <w:rFonts w:hint="eastAsia" w:ascii="Times New Roman" w:hAnsi="Times New Roman" w:eastAsia="方正仿宋_GBK" w:cs="Times New Roman"/>
          <w:color w:val="auto"/>
          <w:sz w:val="32"/>
          <w:szCs w:val="32"/>
          <w:lang w:val="en-US" w:eastAsia="zh-CN"/>
        </w:rPr>
        <w:t>自受理登记申请之日起20个工作日内办结采</w:t>
      </w:r>
      <w:r>
        <w:rPr>
          <w:rFonts w:hint="default" w:ascii="Times New Roman" w:hAnsi="Times New Roman" w:eastAsia="方正仿宋_GBK" w:cs="Times New Roman"/>
          <w:color w:val="auto"/>
          <w:sz w:val="32"/>
          <w:szCs w:val="32"/>
        </w:rPr>
        <w:t>矿权登记手续。</w:t>
      </w:r>
      <w:r>
        <w:rPr>
          <w:rFonts w:hint="eastAsia" w:ascii="方正楷体_GBK" w:hAnsi="方正楷体_GBK" w:eastAsia="方正楷体_GBK" w:cs="方正楷体_GBK"/>
          <w:color w:val="auto"/>
          <w:sz w:val="32"/>
          <w:szCs w:val="32"/>
        </w:rPr>
        <w:t>（仅用于招标/拍卖/挂牌/协议出让采矿权</w:t>
      </w:r>
      <w:r>
        <w:rPr>
          <w:rFonts w:hint="eastAsia" w:ascii="方正楷体_GBK" w:hAnsi="方正楷体_GBK" w:eastAsia="方正楷体_GBK" w:cs="方正楷体_GBK"/>
          <w:color w:val="auto"/>
          <w:sz w:val="32"/>
          <w:szCs w:val="32"/>
          <w:lang w:eastAsia="zh-CN"/>
        </w:rPr>
        <w:t>）</w:t>
      </w:r>
    </w:p>
    <w:p>
      <w:pPr>
        <w:pStyle w:val="2"/>
        <w:kinsoku w:val="0"/>
        <w:overflowPunct/>
        <w:spacing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本合同签订生效后，甲方不</w:t>
      </w:r>
      <w:r>
        <w:rPr>
          <w:rFonts w:hint="eastAsia" w:ascii="Times New Roman" w:hAnsi="Times New Roman" w:eastAsia="方正仿宋_GBK" w:cs="Times New Roman"/>
          <w:color w:val="auto"/>
          <w:sz w:val="32"/>
          <w:szCs w:val="32"/>
          <w:lang w:eastAsia="zh-CN"/>
        </w:rPr>
        <w:t>应</w:t>
      </w:r>
      <w:r>
        <w:rPr>
          <w:rFonts w:hint="default" w:ascii="Times New Roman" w:hAnsi="Times New Roman" w:eastAsia="方正仿宋_GBK" w:cs="Times New Roman"/>
          <w:color w:val="auto"/>
          <w:sz w:val="32"/>
          <w:szCs w:val="32"/>
        </w:rPr>
        <w:t>将本合同约定的全部或者部分</w:t>
      </w:r>
      <w:r>
        <w:rPr>
          <w:rFonts w:hint="eastAsia" w:ascii="Times New Roman" w:hAnsi="Times New Roman" w:eastAsia="方正仿宋_GBK" w:cs="Times New Roman"/>
          <w:color w:val="auto"/>
          <w:sz w:val="32"/>
          <w:szCs w:val="32"/>
          <w:lang w:val="en-US" w:eastAsia="zh-CN"/>
        </w:rPr>
        <w:t>开采</w:t>
      </w:r>
      <w:r>
        <w:rPr>
          <w:rFonts w:hint="default" w:ascii="Times New Roman" w:hAnsi="Times New Roman" w:eastAsia="方正仿宋_GBK" w:cs="Times New Roman"/>
          <w:color w:val="auto"/>
          <w:sz w:val="32"/>
          <w:szCs w:val="32"/>
        </w:rPr>
        <w:t>区域另行向第三方出让探矿权或者采矿权，依据相关规定同一区域可以按照不同矿种分别设置探矿权、采矿权的情形除外。</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乙方自本合同签订之日起</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个月内，应</w:t>
      </w:r>
      <w:r>
        <w:rPr>
          <w:rFonts w:hint="eastAsia" w:ascii="Times New Roman" w:hAnsi="Times New Roman" w:eastAsia="方正仿宋_GBK" w:cs="Times New Roman"/>
          <w:color w:val="auto"/>
          <w:sz w:val="32"/>
          <w:szCs w:val="32"/>
          <w:lang w:val="en-US" w:eastAsia="zh-CN"/>
        </w:rPr>
        <w:t>编制</w:t>
      </w:r>
      <w:r>
        <w:rPr>
          <w:rFonts w:ascii="Times New Roman" w:hAnsi="Times New Roman" w:eastAsia="方正仿宋_GBK" w:cs="方正仿宋_GBK"/>
          <w:color w:val="auto"/>
          <w:sz w:val="32"/>
          <w:szCs w:val="32"/>
        </w:rPr>
        <w:t>开采方案、矿区生态修复方案</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依法</w:t>
      </w:r>
      <w:r>
        <w:rPr>
          <w:rFonts w:hint="default" w:ascii="Times New Roman" w:hAnsi="Times New Roman" w:eastAsia="方正仿宋_GBK" w:cs="Times New Roman"/>
          <w:color w:val="auto"/>
          <w:sz w:val="32"/>
          <w:szCs w:val="32"/>
        </w:rPr>
        <w:t>申请办理</w:t>
      </w:r>
      <w:r>
        <w:rPr>
          <w:rFonts w:hint="eastAsia" w:ascii="Times New Roman" w:hAnsi="Times New Roman" w:eastAsia="方正仿宋_GBK" w:cs="Times New Roman"/>
          <w:color w:val="auto"/>
          <w:sz w:val="32"/>
          <w:szCs w:val="32"/>
          <w:lang w:val="en-US" w:eastAsia="zh-CN"/>
        </w:rPr>
        <w:t>采矿</w:t>
      </w:r>
      <w:r>
        <w:rPr>
          <w:rFonts w:hint="default" w:ascii="Times New Roman" w:hAnsi="Times New Roman" w:eastAsia="方正仿宋_GBK" w:cs="Times New Roman"/>
          <w:color w:val="auto"/>
          <w:sz w:val="32"/>
          <w:szCs w:val="32"/>
        </w:rPr>
        <w:t>许可</w:t>
      </w:r>
      <w:r>
        <w:rPr>
          <w:rFonts w:hint="eastAsia"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rPr>
        <w:t>（仅用于招标/拍卖/挂牌/协议出让采矿权</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Times New Roman"/>
          <w:color w:val="auto"/>
          <w:sz w:val="32"/>
          <w:szCs w:val="32"/>
          <w:lang w:val="en-US" w:eastAsia="zh-CN"/>
        </w:rPr>
        <w:t>未取得采矿许可证，不得进行矿产资源开采作业</w:t>
      </w:r>
      <w:r>
        <w:rPr>
          <w:rFonts w:hint="default" w:ascii="Times New Roman" w:hAnsi="Times New Roman" w:eastAsia="方正仿宋_GBK" w:cs="Times New Roman"/>
          <w:color w:val="auto"/>
          <w:sz w:val="32"/>
          <w:szCs w:val="32"/>
        </w:rPr>
        <w:t>。</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扩大开采区域、变更（含增列）</w:t>
      </w:r>
      <w:r>
        <w:rPr>
          <w:rFonts w:hint="eastAsia" w:ascii="方正仿宋_GBK" w:hAnsi="方正仿宋_GBK" w:eastAsia="方正仿宋_GBK" w:cs="方正仿宋_GBK"/>
          <w:color w:val="auto"/>
          <w:sz w:val="32"/>
          <w:szCs w:val="32"/>
          <w:lang w:val="en-US" w:eastAsia="zh-CN"/>
        </w:rPr>
        <w:t>开采矿种等，涉及动用未有偿处置的资源量</w:t>
      </w:r>
      <w:r>
        <w:rPr>
          <w:rFonts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甲、乙双方需变更</w:t>
      </w:r>
      <w:r>
        <w:rPr>
          <w:rFonts w:ascii="Times New Roman" w:hAnsi="Times New Roman" w:eastAsia="方正仿宋_GBK" w:cs="方正仿宋_GBK"/>
          <w:color w:val="auto"/>
          <w:sz w:val="32"/>
          <w:szCs w:val="32"/>
        </w:rPr>
        <w:t>采矿权出让合同，</w:t>
      </w:r>
      <w:r>
        <w:rPr>
          <w:rFonts w:hint="eastAsia" w:ascii="Times New Roman" w:hAnsi="Times New Roman" w:eastAsia="方正仿宋_GBK" w:cs="方正仿宋_GBK"/>
          <w:color w:val="auto"/>
          <w:sz w:val="32"/>
          <w:szCs w:val="32"/>
          <w:lang w:val="en-US" w:eastAsia="zh-CN"/>
        </w:rPr>
        <w:t>同时乙方应当向甲方</w:t>
      </w:r>
      <w:r>
        <w:rPr>
          <w:rFonts w:ascii="Times New Roman" w:hAnsi="Times New Roman" w:eastAsia="方正仿宋_GBK" w:cs="方正仿宋_GBK"/>
          <w:color w:val="auto"/>
          <w:sz w:val="32"/>
          <w:szCs w:val="32"/>
        </w:rPr>
        <w:t>申请采矿权变更登记。</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乙方可以按规定转让</w:t>
      </w:r>
      <w:r>
        <w:rPr>
          <w:rFonts w:hint="eastAsia" w:ascii="Times New Roman" w:hAnsi="Times New Roman" w:eastAsia="方正仿宋_GBK" w:cs="Times New Roman"/>
          <w:color w:val="auto"/>
          <w:sz w:val="32"/>
          <w:szCs w:val="32"/>
          <w:lang w:val="en-US" w:eastAsia="zh-CN"/>
        </w:rPr>
        <w:t>采</w:t>
      </w:r>
      <w:r>
        <w:rPr>
          <w:rFonts w:hint="default" w:ascii="Times New Roman" w:hAnsi="Times New Roman" w:eastAsia="方正仿宋_GBK" w:cs="Times New Roman"/>
          <w:color w:val="auto"/>
          <w:sz w:val="32"/>
          <w:szCs w:val="32"/>
        </w:rPr>
        <w:t>矿权</w:t>
      </w:r>
      <w:r>
        <w:rPr>
          <w:rFonts w:hint="eastAsia" w:ascii="Times New Roman" w:hAnsi="Times New Roman" w:eastAsia="方正仿宋_GBK" w:cs="Times New Roman"/>
          <w:color w:val="auto"/>
          <w:sz w:val="32"/>
          <w:szCs w:val="32"/>
          <w:lang w:eastAsia="zh-CN"/>
        </w:rPr>
        <w:t>。该采矿权转让后</w:t>
      </w:r>
      <w:r>
        <w:rPr>
          <w:rFonts w:hint="default" w:ascii="Times New Roman" w:hAnsi="Times New Roman" w:eastAsia="方正仿宋_GBK" w:cs="Times New Roman"/>
          <w:color w:val="auto"/>
          <w:sz w:val="32"/>
          <w:szCs w:val="32"/>
        </w:rPr>
        <w:t>，本合同约定的权利、义务依法随之转移。</w:t>
      </w:r>
      <w:r>
        <w:rPr>
          <w:rFonts w:hint="eastAsia" w:ascii="Times New Roman" w:hAnsi="Times New Roman" w:eastAsia="方正仿宋_GBK" w:cs="Times New Roman"/>
          <w:color w:val="auto"/>
          <w:sz w:val="32"/>
          <w:szCs w:val="32"/>
          <w:u w:val="single"/>
          <w:lang w:eastAsia="zh-CN"/>
        </w:rPr>
        <w:t>（</w:t>
      </w:r>
      <w:r>
        <w:rPr>
          <w:rFonts w:hint="eastAsia" w:ascii="Times New Roman" w:hAnsi="Times New Roman" w:eastAsia="方正仿宋_GBK" w:cs="Times New Roman"/>
          <w:color w:val="auto"/>
          <w:sz w:val="32"/>
          <w:szCs w:val="32"/>
          <w:u w:val="single"/>
          <w:lang w:val="en-US" w:eastAsia="zh-CN"/>
        </w:rPr>
        <w:t>出让合同另有约定不得转让的情形</w:t>
      </w:r>
      <w:r>
        <w:rPr>
          <w:rFonts w:hint="eastAsia" w:ascii="Times New Roman" w:hAnsi="Times New Roman" w:eastAsia="方正仿宋_GBK" w:cs="Times New Roman"/>
          <w:color w:val="auto"/>
          <w:sz w:val="32"/>
          <w:szCs w:val="32"/>
          <w:u w:val="single"/>
          <w:lang w:eastAsia="zh-CN"/>
        </w:rPr>
        <w:t>）</w:t>
      </w:r>
      <w:r>
        <w:rPr>
          <w:rFonts w:hint="eastAsia" w:ascii="Times New Roman" w:hAnsi="Times New Roman" w:eastAsia="方正仿宋_GBK" w:cs="Times New Roman"/>
          <w:color w:val="auto"/>
          <w:sz w:val="32"/>
          <w:szCs w:val="32"/>
          <w:u w:val="none"/>
          <w:lang w:val="en-US" w:eastAsia="zh-CN"/>
        </w:rPr>
        <w:t>不得转让。</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楷体_GBK" w:hAnsi="方正楷体_GBK" w:eastAsia="方正楷体_GBK" w:cs="方正楷体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乙方进行矿产资源开采作业时，应符合保护性开采的有关要求。对实行开采总量控制管理的矿种，按照自然资源主管部门下达的开采总量控制指标</w:t>
      </w:r>
      <w:r>
        <w:rPr>
          <w:rFonts w:hint="eastAsia" w:ascii="方正仿宋_GBK" w:hAnsi="方正仿宋_GBK" w:eastAsia="方正仿宋_GBK" w:cs="方正仿宋_GBK"/>
          <w:color w:val="auto"/>
          <w:sz w:val="32"/>
          <w:szCs w:val="32"/>
          <w:lang w:val="en-US" w:eastAsia="zh-CN"/>
        </w:rPr>
        <w:t>开采</w:t>
      </w:r>
      <w:r>
        <w:rPr>
          <w:rFonts w:hint="eastAsia" w:ascii="方正仿宋_GBK" w:hAnsi="方正仿宋_GBK" w:eastAsia="方正仿宋_GBK" w:cs="方正仿宋_GBK"/>
          <w:color w:val="auto"/>
          <w:sz w:val="32"/>
          <w:szCs w:val="32"/>
        </w:rPr>
        <w:t>。</w:t>
      </w:r>
      <w:r>
        <w:rPr>
          <w:rFonts w:hint="eastAsia" w:ascii="方正楷体_GBK" w:hAnsi="方正楷体_GBK" w:eastAsia="方正楷体_GBK" w:cs="方正楷体_GBK"/>
          <w:color w:val="auto"/>
          <w:sz w:val="32"/>
          <w:szCs w:val="32"/>
        </w:rPr>
        <w:t>（仅用于特定战略性矿产资源）</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乙方在持有采矿权期间，应当严格遵守矿产资源法律法规、相关矿业权管理政策，认真履行综合开采、综合利用、地质资料汇交、矿区生态修复、绿色矿山建设、合理和集约节约用地</w:t>
      </w:r>
      <w:bookmarkStart w:id="0" w:name="_GoBack"/>
      <w:bookmarkEnd w:id="0"/>
      <w:r>
        <w:rPr>
          <w:rFonts w:ascii="Times New Roman" w:hAnsi="Times New Roman" w:eastAsia="方正仿宋_GBK" w:cs="方正仿宋_GBK"/>
          <w:color w:val="auto"/>
          <w:sz w:val="32"/>
          <w:szCs w:val="32"/>
        </w:rPr>
        <w:t>用林用草用海、</w:t>
      </w:r>
      <w:r>
        <w:rPr>
          <w:rFonts w:hint="eastAsia" w:ascii="Times New Roman" w:hAnsi="Times New Roman" w:eastAsia="方正仿宋_GBK" w:cs="方正仿宋_GBK"/>
          <w:color w:val="auto"/>
          <w:sz w:val="32"/>
          <w:szCs w:val="32"/>
          <w:lang w:val="en-US" w:eastAsia="zh-CN"/>
        </w:rPr>
        <w:t>临时用地恢复、</w:t>
      </w:r>
      <w:r>
        <w:rPr>
          <w:rFonts w:ascii="Times New Roman" w:hAnsi="Times New Roman" w:eastAsia="方正仿宋_GBK" w:cs="方正仿宋_GBK"/>
          <w:color w:val="auto"/>
          <w:sz w:val="32"/>
          <w:szCs w:val="32"/>
        </w:rPr>
        <w:t>采矿权</w:t>
      </w:r>
      <w:r>
        <w:rPr>
          <w:rFonts w:hint="eastAsia" w:ascii="Times New Roman" w:hAnsi="Times New Roman" w:eastAsia="方正仿宋_GBK" w:cs="方正仿宋_GBK"/>
          <w:color w:val="auto"/>
          <w:sz w:val="32"/>
          <w:szCs w:val="32"/>
          <w:lang w:val="en-US" w:eastAsia="zh-CN"/>
        </w:rPr>
        <w:t>使用费（</w:t>
      </w:r>
      <w:r>
        <w:rPr>
          <w:rFonts w:ascii="Times New Roman" w:hAnsi="Times New Roman" w:eastAsia="方正仿宋_GBK" w:cs="方正仿宋_GBK"/>
          <w:color w:val="auto"/>
          <w:sz w:val="32"/>
          <w:szCs w:val="32"/>
        </w:rPr>
        <w:t>占用费</w:t>
      </w:r>
      <w:r>
        <w:rPr>
          <w:rFonts w:hint="eastAsia" w:ascii="Times New Roman" w:hAnsi="Times New Roman" w:eastAsia="方正仿宋_GBK" w:cs="方正仿宋_GBK"/>
          <w:color w:val="auto"/>
          <w:sz w:val="32"/>
          <w:szCs w:val="32"/>
          <w:lang w:eastAsia="zh-CN"/>
        </w:rPr>
        <w:t>）</w:t>
      </w:r>
      <w:r>
        <w:rPr>
          <w:rFonts w:ascii="Times New Roman" w:hAnsi="Times New Roman" w:eastAsia="方正仿宋_GBK" w:cs="方正仿宋_GBK"/>
          <w:color w:val="auto"/>
          <w:sz w:val="32"/>
          <w:szCs w:val="32"/>
        </w:rPr>
        <w:t>缴纳、矿产</w:t>
      </w:r>
      <w:r>
        <w:rPr>
          <w:rFonts w:hint="eastAsia" w:ascii="方正仿宋_GBK" w:hAnsi="方正仿宋_GBK" w:eastAsia="方正仿宋_GBK" w:cs="方正仿宋_GBK"/>
          <w:color w:val="auto"/>
          <w:sz w:val="32"/>
          <w:szCs w:val="32"/>
        </w:rPr>
        <w:t>资源应急处置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color w:val="auto"/>
          <w:sz w:val="32"/>
          <w:szCs w:val="32"/>
          <w:lang w:eastAsia="zh-CN"/>
        </w:rPr>
        <w:t>安全生产</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rPr>
        <w:t>等相关义务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乙方应严格按照绿色矿山标准建设运行，正式投产后</w:t>
      </w:r>
      <w:r>
        <w:rPr>
          <w:rFonts w:hint="eastAsia" w:ascii="Times New Roman" w:hAnsi="Times New Roman"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年内通过绿色矿山评估核查，并</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rPr>
        <w:t>矿山闭坑前或者闭坑后的合理期限内采取安全措施、防治环境污染和生态破坏、及时开展矿区生态修复。</w:t>
      </w:r>
      <w:r>
        <w:rPr>
          <w:rFonts w:hint="eastAsia" w:ascii="Times New Roman" w:hAnsi="Times New Roman" w:eastAsia="方正仿宋_GBK" w:cs="Times New Roman"/>
          <w:color w:val="auto"/>
          <w:sz w:val="32"/>
          <w:szCs w:val="32"/>
          <w:highlight w:val="none"/>
          <w:lang w:val="en-US" w:eastAsia="zh-CN" w:bidi="ar-SA"/>
        </w:rPr>
        <w:t>乙方的相关义务不因采矿权消灭而免除。</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有下列情形之一的，本合同自动</w:t>
      </w:r>
      <w:r>
        <w:rPr>
          <w:rFonts w:hint="default" w:ascii="Times New Roman" w:hAnsi="Times New Roman" w:eastAsia="方正仿宋_GBK" w:cs="Times New Roman"/>
          <w:color w:val="auto"/>
          <w:sz w:val="32"/>
          <w:szCs w:val="32"/>
        </w:rPr>
        <w:t>解除</w:t>
      </w:r>
      <w:r>
        <w:rPr>
          <w:rFonts w:hint="eastAsia"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3"/>
        </w:numPr>
        <w:kinsoku w:val="0"/>
        <w:wordWrap/>
        <w:overflowPunct/>
        <w:topLinePunct w:val="0"/>
        <w:autoSpaceDE w:val="0"/>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乙方因自身原因，逾期20日未足额缴纳矿业权出让收益</w:t>
      </w:r>
      <w:r>
        <w:rPr>
          <w:rFonts w:hint="eastAsia" w:ascii="Times New Roman" w:hAnsi="Times New Roman" w:eastAsia="方正仿宋_GBK" w:cs="Times New Roman"/>
          <w:color w:val="auto"/>
          <w:sz w:val="32"/>
          <w:szCs w:val="32"/>
          <w:highlight w:val="none"/>
          <w:u w:val="single"/>
          <w:lang w:val="en-US" w:eastAsia="zh-CN"/>
        </w:rPr>
        <w:t>成交价的（仅用于按出让收益率形式征收）/采矿权出让收益的（仅用于按出让金额形式征收且一次性缴纳）/首期采矿权出让收益的（仅用于按出让金额形式征收且分期缴纳）</w:t>
      </w:r>
      <w:r>
        <w:rPr>
          <w:rFonts w:hint="eastAsia" w:ascii="Times New Roman" w:hAnsi="Times New Roman" w:eastAsia="方正仿宋_GBK" w:cs="Times New Roman"/>
          <w:color w:val="auto"/>
          <w:sz w:val="32"/>
          <w:szCs w:val="32"/>
          <w:highlight w:val="none"/>
          <w:lang w:val="en-US" w:eastAsia="zh-CN"/>
        </w:rPr>
        <w:t>；</w:t>
      </w:r>
    </w:p>
    <w:p>
      <w:pPr>
        <w:pStyle w:val="2"/>
        <w:numPr>
          <w:ilvl w:val="0"/>
          <w:numId w:val="3"/>
        </w:numPr>
        <w:kinsoku w:val="0"/>
        <w:overflowPunct/>
        <w:spacing w:line="600" w:lineRule="exact"/>
        <w:ind w:firstLine="640" w:firstLineChars="20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乙方因自身原因，未按照本合同约定向甲方申请办理采矿权登记的；</w:t>
      </w:r>
      <w:r>
        <w:rPr>
          <w:rFonts w:hint="eastAsia" w:ascii="方正楷体_GBK" w:hAnsi="方正楷体_GBK" w:eastAsia="方正楷体_GBK" w:cs="方正楷体_GBK"/>
          <w:color w:val="auto"/>
          <w:sz w:val="32"/>
          <w:szCs w:val="32"/>
        </w:rPr>
        <w:t>（仅用于招标/拍卖/挂牌/协议出让采矿权</w:t>
      </w:r>
      <w:r>
        <w:rPr>
          <w:rFonts w:hint="eastAsia" w:ascii="方正楷体_GBK" w:hAnsi="方正楷体_GBK" w:eastAsia="方正楷体_GBK" w:cs="方正楷体_GBK"/>
          <w:color w:val="auto"/>
          <w:sz w:val="32"/>
          <w:szCs w:val="32"/>
          <w:lang w:eastAsia="zh-CN"/>
        </w:rPr>
        <w:t>）</w:t>
      </w:r>
    </w:p>
    <w:p>
      <w:pPr>
        <w:pStyle w:val="2"/>
        <w:numPr>
          <w:ilvl w:val="0"/>
          <w:numId w:val="3"/>
        </w:numPr>
        <w:kinsoku w:val="0"/>
        <w:overflowPunct/>
        <w:spacing w:line="600" w:lineRule="exact"/>
        <w:ind w:firstLine="640" w:firstLineChars="20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采矿权消灭的。</w:t>
      </w:r>
    </w:p>
    <w:p>
      <w:pPr>
        <w:pStyle w:val="2"/>
        <w:numPr>
          <w:ilvl w:val="0"/>
          <w:numId w:val="0"/>
        </w:numPr>
        <w:kinsoku w:val="0"/>
        <w:overflowPunct/>
        <w:spacing w:line="600" w:lineRule="exact"/>
        <w:ind w:firstLine="640" w:firstLineChars="200"/>
        <w:jc w:val="both"/>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合同解除后，甲方按规定处置矿业权出让收益、采矿权登记等相关事宜，不退还乙方已缴纳的相关费用。为了公共利益需要，矿业权被收回的，应当依法给予公平、合理的补偿。</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 xml:space="preserve"> 由于地质情况的复杂性和开采工作的局限性，可能存在实际开采的</w:t>
      </w:r>
      <w:r>
        <w:rPr>
          <w:rFonts w:hint="eastAsia" w:ascii="Times New Roman" w:hAnsi="Times New Roman" w:eastAsia="方正仿宋_GBK" w:cs="Times New Roman"/>
          <w:color w:val="auto"/>
          <w:sz w:val="32"/>
          <w:szCs w:val="32"/>
          <w:highlight w:val="none"/>
          <w:lang w:val="en-US" w:eastAsia="zh-CN"/>
        </w:rPr>
        <w:t>矿产资源少于出让合同约定的</w:t>
      </w:r>
      <w:r>
        <w:rPr>
          <w:rFonts w:ascii="Times New Roman" w:hAnsi="Times New Roman" w:eastAsia="方正仿宋_GBK" w:cs="方正仿宋_GBK"/>
          <w:color w:val="auto"/>
          <w:sz w:val="32"/>
          <w:szCs w:val="32"/>
          <w:highlight w:val="none"/>
        </w:rPr>
        <w:t>资源量/探明地质储量</w:t>
      </w:r>
      <w:r>
        <w:rPr>
          <w:rFonts w:hint="eastAsia" w:ascii="Times New Roman" w:hAnsi="Times New Roman" w:eastAsia="方正仿宋_GBK" w:cs="Times New Roman"/>
          <w:color w:val="auto"/>
          <w:sz w:val="32"/>
          <w:szCs w:val="32"/>
          <w:highlight w:val="none"/>
          <w:lang w:val="en-US" w:eastAsia="zh-CN"/>
        </w:rPr>
        <w:t>的风</w:t>
      </w:r>
      <w:r>
        <w:rPr>
          <w:rFonts w:hint="eastAsia" w:ascii="Times New Roman" w:hAnsi="Times New Roman" w:eastAsia="方正仿宋_GBK" w:cs="Times New Roman"/>
          <w:color w:val="auto"/>
          <w:sz w:val="32"/>
          <w:szCs w:val="32"/>
          <w:lang w:val="en-US" w:eastAsia="zh-CN"/>
        </w:rPr>
        <w:t>险，乙方承诺愿意承担甲方不予退还相应出让收益的后果；采矿权投资存在包括但不限于安全生产、地质灾害防治、环境保护等</w:t>
      </w:r>
      <w:r>
        <w:rPr>
          <w:rFonts w:hint="eastAsia" w:ascii="Times New Roman" w:hAnsi="Times New Roman" w:eastAsia="方正仿宋_GBK" w:cs="Times New Roman"/>
          <w:b w:val="0"/>
          <w:bCs w:val="0"/>
          <w:color w:val="auto"/>
          <w:sz w:val="32"/>
          <w:szCs w:val="32"/>
          <w:lang w:val="en-US" w:eastAsia="zh-CN"/>
        </w:rPr>
        <w:t>要求，对特定采矿方法、选矿方法限制，国家产业政策或者矿产资源规划调整以及不可抗力等不可预计的风险。乙方已充</w:t>
      </w:r>
      <w:r>
        <w:rPr>
          <w:rFonts w:hint="eastAsia" w:ascii="Times New Roman" w:hAnsi="Times New Roman" w:eastAsia="方正仿宋_GBK" w:cs="Times New Roman"/>
          <w:color w:val="auto"/>
          <w:sz w:val="32"/>
          <w:szCs w:val="32"/>
          <w:lang w:val="en-US" w:eastAsia="zh-CN"/>
        </w:rPr>
        <w:t>分知悉、完全认可并自愿承担所有风险及后果。</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本合同未尽事宜，双方经协商一致后，可另行签订补充协议。补充协议与本合同具有同等法律效力。</w:t>
      </w:r>
    </w:p>
    <w:p>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本合同及补充协议没有约定的，应当按照相关法律法规和规章、政策规定执行。本合同及补充协议签订后，法律法规和规章、政策规定发生变化的，按变化后的规定执行。</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color w:val="auto"/>
          <w:sz w:val="32"/>
          <w:szCs w:val="32"/>
        </w:rPr>
      </w:pPr>
      <w:r>
        <w:rPr>
          <w:rFonts w:hint="eastAsia" w:ascii="Times New Roman" w:hAnsi="Times New Roman" w:eastAsia="方正仿宋_GBK" w:cs="Times New Roman"/>
          <w:color w:val="auto"/>
          <w:sz w:val="32"/>
          <w:szCs w:val="32"/>
          <w:lang w:val="en-US" w:eastAsia="zh-CN"/>
        </w:rPr>
        <w:t xml:space="preserve"> 本合同及补充协议履行过程中，双方就约定内容（除涉及出让收益、违约金征收及追缴等事宜外）发生争议的，应当协商解决；协商不成的，甲乙双方有权向甲方所在地有管辖权的人民法院提起行政诉讼。</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eastAsia="zh-CN"/>
        </w:rPr>
        <w:t>本合同双方当事人同意，涉及本合同履行相关告知事项（包括但不限于缴款通知、催缴通知、司法文书）只要发送至本合同中所填写的通讯地址</w:t>
      </w:r>
      <w:r>
        <w:rPr>
          <w:rFonts w:hint="eastAsia" w:ascii="方正仿宋_GBK" w:hAnsi="方正仿宋_GBK" w:eastAsia="方正仿宋_GBK" w:cs="方正仿宋_GBK"/>
          <w:b w:val="0"/>
          <w:bCs w:val="0"/>
          <w:color w:val="auto"/>
          <w:sz w:val="32"/>
          <w:szCs w:val="32"/>
          <w:lang w:val="en-US" w:eastAsia="zh-CN"/>
        </w:rPr>
        <w:t>（本合同首页及末尾签章页的住所、法定代表人、联系电话等信息）</w:t>
      </w:r>
      <w:r>
        <w:rPr>
          <w:rFonts w:hint="eastAsia" w:ascii="方正仿宋_GBK" w:hAnsi="方正仿宋_GBK" w:eastAsia="方正仿宋_GBK" w:cs="方正仿宋_GBK"/>
          <w:b w:val="0"/>
          <w:bCs w:val="0"/>
          <w:color w:val="auto"/>
          <w:sz w:val="32"/>
          <w:szCs w:val="32"/>
          <w:lang w:eastAsia="zh-CN"/>
        </w:rPr>
        <w:t>，即视为送达。相对方是否签收或邮寄是否退回均不影响送达的效力。上述</w:t>
      </w:r>
      <w:r>
        <w:rPr>
          <w:rFonts w:hint="eastAsia" w:ascii="方正仿宋_GBK" w:hAnsi="方正仿宋_GBK" w:eastAsia="方正仿宋_GBK" w:cs="方正仿宋_GBK"/>
          <w:b w:val="0"/>
          <w:bCs w:val="0"/>
          <w:color w:val="auto"/>
          <w:sz w:val="32"/>
          <w:szCs w:val="32"/>
          <w:lang w:val="en-US" w:eastAsia="zh-CN"/>
        </w:rPr>
        <w:t>通讯</w:t>
      </w:r>
      <w:r>
        <w:rPr>
          <w:rFonts w:hint="eastAsia" w:ascii="方正仿宋_GBK" w:hAnsi="方正仿宋_GBK" w:eastAsia="方正仿宋_GBK" w:cs="方正仿宋_GBK"/>
          <w:b w:val="0"/>
          <w:bCs w:val="0"/>
          <w:color w:val="auto"/>
          <w:sz w:val="32"/>
          <w:szCs w:val="32"/>
          <w:lang w:eastAsia="zh-CN"/>
        </w:rPr>
        <w:t>地址的变更非经提前通知对方，对对方不生效。本条约定之</w:t>
      </w:r>
      <w:r>
        <w:rPr>
          <w:rFonts w:hint="eastAsia" w:ascii="方正仿宋_GBK" w:hAnsi="方正仿宋_GBK" w:eastAsia="方正仿宋_GBK" w:cs="方正仿宋_GBK"/>
          <w:b w:val="0"/>
          <w:bCs w:val="0"/>
          <w:color w:val="auto"/>
          <w:sz w:val="32"/>
          <w:szCs w:val="32"/>
          <w:lang w:val="en-US" w:eastAsia="zh-CN"/>
        </w:rPr>
        <w:t>通讯</w:t>
      </w:r>
      <w:r>
        <w:rPr>
          <w:rFonts w:hint="eastAsia" w:ascii="方正仿宋_GBK" w:hAnsi="方正仿宋_GBK" w:eastAsia="方正仿宋_GBK" w:cs="方正仿宋_GBK"/>
          <w:b w:val="0"/>
          <w:bCs w:val="0"/>
          <w:color w:val="auto"/>
          <w:sz w:val="32"/>
          <w:szCs w:val="32"/>
          <w:lang w:eastAsia="zh-CN"/>
        </w:rPr>
        <w:t>地址亦适用于</w:t>
      </w:r>
      <w:r>
        <w:rPr>
          <w:rFonts w:hint="eastAsia" w:ascii="方正仿宋_GBK" w:hAnsi="方正仿宋_GBK" w:eastAsia="方正仿宋_GBK" w:cs="方正仿宋_GBK"/>
          <w:b w:val="0"/>
          <w:bCs w:val="0"/>
          <w:color w:val="auto"/>
          <w:sz w:val="32"/>
          <w:szCs w:val="32"/>
          <w:lang w:val="en-US" w:eastAsia="zh-CN"/>
        </w:rPr>
        <w:t>包括但不限于法院等司法单位司法文书以及行政单位通知或其他</w:t>
      </w:r>
      <w:r>
        <w:rPr>
          <w:rFonts w:hint="eastAsia" w:ascii="方正仿宋_GBK" w:hAnsi="方正仿宋_GBK" w:eastAsia="方正仿宋_GBK" w:cs="方正仿宋_GBK"/>
          <w:b w:val="0"/>
          <w:bCs w:val="0"/>
          <w:color w:val="auto"/>
          <w:sz w:val="32"/>
          <w:szCs w:val="32"/>
          <w:lang w:eastAsia="zh-CN"/>
        </w:rPr>
        <w:t>的送达。</w:t>
      </w:r>
    </w:p>
    <w:p>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本合同一式六份，甲乙双方各持三份，经双方法定代表人或其授权委托代理人签字或签章并加盖单位印章后生效。</w:t>
      </w:r>
    </w:p>
    <w:p>
      <w:pPr>
        <w:pStyle w:val="2"/>
        <w:widowControl/>
        <w:numPr>
          <w:ilvl w:val="0"/>
          <w:numId w:val="0"/>
        </w:numPr>
        <w:autoSpaceDE/>
        <w:autoSpaceDN/>
        <w:adjustRightInd/>
        <w:spacing w:line="600" w:lineRule="exact"/>
        <w:rPr>
          <w:rFonts w:hint="eastAsia" w:ascii="Times New Roman" w:hAnsi="Times New Roman" w:eastAsia="方正仿宋_GBK" w:cs="Times New Roman"/>
          <w:color w:val="auto"/>
          <w:sz w:val="32"/>
          <w:szCs w:val="32"/>
          <w:lang w:val="en-US" w:eastAsia="zh-CN"/>
        </w:rPr>
      </w:pPr>
    </w:p>
    <w:p>
      <w:pPr>
        <w:rPr>
          <w:rFonts w:hint="default"/>
          <w:color w:val="auto"/>
          <w:sz w:val="32"/>
          <w:szCs w:val="32"/>
        </w:rPr>
      </w:pPr>
    </w:p>
    <w:p>
      <w:pPr>
        <w:pStyle w:val="4"/>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pStyle w:val="2"/>
        <w:widowControl/>
        <w:numPr>
          <w:ilvl w:val="0"/>
          <w:numId w:val="0"/>
        </w:numPr>
        <w:autoSpaceDE/>
        <w:autoSpaceDN/>
        <w:adjustRightInd/>
        <w:spacing w:line="600" w:lineRule="exact"/>
        <w:ind w:left="0" w:leftChars="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（以下无正文）</w:t>
      </w:r>
    </w:p>
    <w:p>
      <w:pPr>
        <w:pStyle w:val="4"/>
        <w:rPr>
          <w:rFonts w:hint="default" w:ascii="Times New Roman" w:hAnsi="Times New Roman" w:eastAsia="方正仿宋_GBK" w:cs="Times New Roman"/>
          <w:color w:val="auto"/>
          <w:sz w:val="32"/>
          <w:szCs w:val="32"/>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甲方（盖章）：</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法定代表人</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委托代理人</w:t>
      </w:r>
      <w:r>
        <w:rPr>
          <w:rFonts w:hint="default" w:ascii="Times New Roman" w:hAnsi="Times New Roman" w:eastAsia="方正仿宋_GBK" w:cs="Times New Roman"/>
          <w:color w:val="auto"/>
          <w:sz w:val="32"/>
          <w:szCs w:val="32"/>
        </w:rPr>
        <w:t>）</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u w:val="single"/>
        </w:rPr>
      </w:pPr>
      <w:r>
        <w:rPr>
          <w:rFonts w:hint="eastAsia" w:ascii="Times New Roman" w:hAnsi="Times New Roman" w:eastAsia="方正仿宋_GBK" w:cs="Times New Roman"/>
          <w:color w:val="auto"/>
          <w:sz w:val="32"/>
          <w:szCs w:val="32"/>
          <w:lang w:val="en-US" w:eastAsia="zh-CN"/>
        </w:rPr>
        <w:t>签字或签章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single"/>
        </w:rPr>
        <w:tab/>
      </w:r>
      <w:r>
        <w:rPr>
          <w:rFonts w:hint="default" w:ascii="Times New Roman" w:hAnsi="Times New Roman" w:eastAsia="方正仿宋_GBK" w:cs="Times New Roman"/>
          <w:color w:val="auto"/>
          <w:sz w:val="32"/>
          <w:szCs w:val="32"/>
          <w:u w:val="single"/>
        </w:rPr>
        <w:t xml:space="preserve">   </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联系</w:t>
      </w:r>
      <w:r>
        <w:rPr>
          <w:rFonts w:hint="eastAsia" w:ascii="Times New Roman" w:hAnsi="Times New Roman" w:eastAsia="方正仿宋_GBK" w:cs="Times New Roman"/>
          <w:color w:val="auto"/>
          <w:sz w:val="32"/>
          <w:szCs w:val="32"/>
          <w:highlight w:val="none"/>
          <w:lang w:val="en-US" w:eastAsia="zh-CN"/>
        </w:rPr>
        <w:t>电话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 xml:space="preserve">   </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时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rPr>
        <w:t>日</w:t>
      </w:r>
    </w:p>
    <w:p>
      <w:pPr>
        <w:pStyle w:val="2"/>
        <w:kinsoku w:val="0"/>
        <w:overflowPunct/>
        <w:spacing w:line="600" w:lineRule="exact"/>
        <w:ind w:firstLine="640" w:firstLineChars="200"/>
        <w:jc w:val="both"/>
        <w:rPr>
          <w:rFonts w:hint="default" w:ascii="Times New Roman" w:hAnsi="Times New Roman" w:eastAsia="方正仿宋_GBK" w:cs="Times New Roman"/>
          <w:color w:val="auto"/>
          <w:sz w:val="32"/>
          <w:szCs w:val="32"/>
          <w:highlight w:val="none"/>
        </w:rPr>
      </w:pPr>
    </w:p>
    <w:p>
      <w:pPr>
        <w:pStyle w:val="2"/>
        <w:kinsoku w:val="0"/>
        <w:overflowPunct/>
        <w:spacing w:line="600" w:lineRule="exact"/>
        <w:jc w:val="both"/>
        <w:rPr>
          <w:rFonts w:hint="default" w:ascii="Times New Roman" w:hAnsi="Times New Roman" w:eastAsia="方正仿宋_GBK" w:cs="Times New Roman"/>
          <w:color w:val="auto"/>
          <w:sz w:val="32"/>
          <w:szCs w:val="32"/>
          <w:highlight w:val="none"/>
        </w:rPr>
      </w:pPr>
    </w:p>
    <w:p>
      <w:pPr>
        <w:rPr>
          <w:rFonts w:hint="default"/>
          <w:color w:val="auto"/>
          <w:sz w:val="32"/>
          <w:szCs w:val="32"/>
          <w:highlight w:val="none"/>
        </w:rPr>
      </w:pPr>
    </w:p>
    <w:p>
      <w:pPr>
        <w:pStyle w:val="2"/>
        <w:kinsoku w:val="0"/>
        <w:overflowPunct/>
        <w:spacing w:line="600" w:lineRule="exact"/>
        <w:ind w:firstLine="640" w:firstLineChars="200"/>
        <w:jc w:val="both"/>
        <w:rPr>
          <w:rFonts w:hint="default" w:ascii="Times New Roman" w:hAnsi="Times New Roman" w:eastAsia="方正仿宋_GBK" w:cs="Times New Roman"/>
          <w:color w:val="auto"/>
          <w:sz w:val="32"/>
          <w:szCs w:val="32"/>
          <w:highlight w:val="none"/>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rPr>
        <w:t>（盖章）：</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 xml:space="preserve">   </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法定代表人（</w:t>
      </w:r>
      <w:r>
        <w:rPr>
          <w:rFonts w:hint="eastAsia" w:ascii="Times New Roman" w:hAnsi="Times New Roman" w:eastAsia="方正仿宋_GBK" w:cs="Times New Roman"/>
          <w:color w:val="auto"/>
          <w:sz w:val="32"/>
          <w:szCs w:val="32"/>
          <w:highlight w:val="none"/>
          <w:lang w:eastAsia="zh-CN"/>
        </w:rPr>
        <w:t>委托代理人</w:t>
      </w:r>
      <w:r>
        <w:rPr>
          <w:rFonts w:hint="default" w:ascii="Times New Roman" w:hAnsi="Times New Roman" w:eastAsia="方正仿宋_GBK" w:cs="Times New Roman"/>
          <w:color w:val="auto"/>
          <w:sz w:val="32"/>
          <w:szCs w:val="32"/>
          <w:highlight w:val="none"/>
        </w:rPr>
        <w:t>）</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single"/>
        </w:rPr>
      </w:pPr>
      <w:r>
        <w:rPr>
          <w:rFonts w:hint="eastAsia" w:ascii="Times New Roman" w:hAnsi="Times New Roman" w:eastAsia="方正仿宋_GBK" w:cs="Times New Roman"/>
          <w:color w:val="auto"/>
          <w:sz w:val="32"/>
          <w:szCs w:val="32"/>
          <w:lang w:val="en-US" w:eastAsia="zh-CN"/>
        </w:rPr>
        <w:t>签字或签章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 xml:space="preserve">   </w:t>
      </w: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p>
    <w:p>
      <w:pPr>
        <w:pStyle w:val="2"/>
        <w:keepNext w:val="0"/>
        <w:keepLines w:val="0"/>
        <w:pageBreakBefore w:val="0"/>
        <w:widowControl w:val="0"/>
        <w:tabs>
          <w:tab w:val="left" w:pos="6165"/>
        </w:tabs>
        <w:kinsoku w:val="0"/>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联系</w:t>
      </w:r>
      <w:r>
        <w:rPr>
          <w:rFonts w:hint="eastAsia" w:ascii="Times New Roman" w:hAnsi="Times New Roman" w:eastAsia="方正仿宋_GBK" w:cs="Times New Roman"/>
          <w:color w:val="auto"/>
          <w:sz w:val="32"/>
          <w:szCs w:val="32"/>
          <w:highlight w:val="none"/>
          <w:lang w:val="en-US" w:eastAsia="zh-CN"/>
        </w:rPr>
        <w:t>电话</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u w:val="single"/>
        </w:rPr>
        <w:tab/>
      </w:r>
      <w:r>
        <w:rPr>
          <w:rFonts w:hint="default" w:ascii="Times New Roman" w:hAnsi="Times New Roman" w:eastAsia="方正仿宋_GBK" w:cs="Times New Roman"/>
          <w:color w:val="auto"/>
          <w:sz w:val="32"/>
          <w:szCs w:val="32"/>
          <w:highlight w:val="none"/>
          <w:u w:val="single"/>
        </w:rPr>
        <w:t xml:space="preserve">   </w:t>
      </w:r>
    </w:p>
    <w:p>
      <w:pPr>
        <w:pStyle w:val="2"/>
        <w:kinsoku w:val="0"/>
        <w:overflowPunct/>
        <w:ind w:firstLine="640" w:firstLineChars="200"/>
        <w:rPr>
          <w:rFonts w:hint="default" w:ascii="Times New Roman" w:hAnsi="Times New Roman" w:eastAsia="方正仿宋_GBK" w:cs="Times New Roman"/>
          <w:color w:val="auto"/>
          <w:sz w:val="32"/>
          <w:szCs w:val="32"/>
          <w:highlight w:val="none"/>
        </w:rPr>
      </w:pPr>
    </w:p>
    <w:p>
      <w:pPr>
        <w:pStyle w:val="2"/>
        <w:kinsoku w:val="0"/>
        <w:overflowPunct/>
        <w:ind w:firstLine="640" w:firstLineChars="200"/>
        <w:rPr>
          <w:rFonts w:hint="default" w:ascii="Times New Roman" w:hAnsi="Times New Roman" w:eastAsia="仿宋_GB2312"/>
          <w:color w:val="auto"/>
          <w:spacing w:val="-2"/>
          <w:w w:val="110"/>
          <w:sz w:val="32"/>
          <w:szCs w:val="32"/>
        </w:rPr>
      </w:pPr>
      <w:r>
        <w:rPr>
          <w:rFonts w:hint="default" w:ascii="Times New Roman" w:hAnsi="Times New Roman" w:eastAsia="方正仿宋_GBK" w:cs="Times New Roman"/>
          <w:color w:val="auto"/>
          <w:sz w:val="32"/>
          <w:szCs w:val="32"/>
          <w:highlight w:val="none"/>
        </w:rPr>
        <w:t xml:space="preserve">时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ABC5B7-D906-4DF5-AEFF-3F8F645848DA}"/>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F419763-789D-4BBA-BED9-E981F3678D41}"/>
  </w:font>
  <w:font w:name="方正仿宋_GBK">
    <w:panose1 w:val="03000509000000000000"/>
    <w:charset w:val="86"/>
    <w:family w:val="auto"/>
    <w:pitch w:val="default"/>
    <w:sig w:usb0="00000001" w:usb1="080E0000" w:usb2="00000000" w:usb3="00000000" w:csb0="00040000" w:csb1="00000000"/>
    <w:embedRegular r:id="rId3" w:fontKey="{AB0771F5-E6FB-43A6-9339-1E520B4E301B}"/>
  </w:font>
  <w:font w:name="方正楷体_GBK">
    <w:panose1 w:val="03000509000000000000"/>
    <w:charset w:val="86"/>
    <w:family w:val="auto"/>
    <w:pitch w:val="default"/>
    <w:sig w:usb0="00000001" w:usb1="080E0000" w:usb2="00000000" w:usb3="00000000" w:csb0="00040000" w:csb1="00000000"/>
    <w:embedRegular r:id="rId4" w:fontKey="{87D79A4E-AB99-4A1E-9826-15AD3BDAC056}"/>
  </w:font>
  <w:font w:name="方正小标宋_GBK">
    <w:panose1 w:val="03000509000000000000"/>
    <w:charset w:val="86"/>
    <w:family w:val="auto"/>
    <w:pitch w:val="default"/>
    <w:sig w:usb0="00000001" w:usb1="080E0000" w:usb2="00000000" w:usb3="00000000" w:csb0="00040000" w:csb1="00000000"/>
    <w:embedRegular r:id="rId5" w:fontKey="{AF6E104E-4469-4AAB-B515-1E02782ED243}"/>
  </w:font>
  <w:font w:name="方正黑体_GBK">
    <w:panose1 w:val="03000509000000000000"/>
    <w:charset w:val="86"/>
    <w:family w:val="script"/>
    <w:pitch w:val="default"/>
    <w:sig w:usb0="00000001" w:usb1="080E0000" w:usb2="00000000" w:usb3="00000000" w:csb0="00040000" w:csb1="00000000"/>
    <w:embedRegular r:id="rId6" w:fontKey="{6FCE2281-15CC-4C13-9C27-1F9E211A8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sz w:val="28"/>
                              <w:szCs w:val="44"/>
                            </w:rPr>
                          </w:pPr>
                          <w:r>
                            <w:rPr>
                              <w:rFonts w:hint="default" w:ascii="Times New Roman" w:hAnsi="Times New Roman"/>
                              <w:sz w:val="28"/>
                              <w:szCs w:val="44"/>
                            </w:rPr>
                            <w:t xml:space="preserve">— </w:t>
                          </w:r>
                          <w:r>
                            <w:rPr>
                              <w:rFonts w:hint="default" w:ascii="Times New Roman" w:hAnsi="Times New Roman"/>
                              <w:sz w:val="28"/>
                              <w:szCs w:val="44"/>
                            </w:rPr>
                            <w:fldChar w:fldCharType="begin"/>
                          </w:r>
                          <w:r>
                            <w:rPr>
                              <w:rFonts w:hint="default" w:ascii="Times New Roman" w:hAnsi="Times New Roman"/>
                              <w:sz w:val="28"/>
                              <w:szCs w:val="44"/>
                            </w:rPr>
                            <w:instrText xml:space="preserve"> PAGE  \* MERGEFORMAT </w:instrText>
                          </w:r>
                          <w:r>
                            <w:rPr>
                              <w:rFonts w:hint="default" w:ascii="Times New Roman" w:hAnsi="Times New Roman"/>
                              <w:sz w:val="28"/>
                              <w:szCs w:val="44"/>
                            </w:rPr>
                            <w:fldChar w:fldCharType="separate"/>
                          </w:r>
                          <w:r>
                            <w:rPr>
                              <w:rFonts w:hint="default" w:ascii="Times New Roman" w:hAnsi="Times New Roman"/>
                              <w:sz w:val="28"/>
                              <w:szCs w:val="44"/>
                            </w:rPr>
                            <w:t>1</w:t>
                          </w:r>
                          <w:r>
                            <w:rPr>
                              <w:rFonts w:hint="default" w:ascii="Times New Roman" w:hAnsi="Times New Roman"/>
                              <w:sz w:val="28"/>
                              <w:szCs w:val="44"/>
                            </w:rPr>
                            <w:fldChar w:fldCharType="end"/>
                          </w:r>
                          <w:r>
                            <w:rPr>
                              <w:rFonts w:hint="default" w:ascii="Times New Roman" w:hAnsi="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default" w:ascii="Times New Roman" w:hAnsi="Times New Roman"/>
                        <w:sz w:val="28"/>
                        <w:szCs w:val="44"/>
                      </w:rPr>
                    </w:pPr>
                    <w:r>
                      <w:rPr>
                        <w:rFonts w:hint="default" w:ascii="Times New Roman" w:hAnsi="Times New Roman"/>
                        <w:sz w:val="28"/>
                        <w:szCs w:val="44"/>
                      </w:rPr>
                      <w:t xml:space="preserve">— </w:t>
                    </w:r>
                    <w:r>
                      <w:rPr>
                        <w:rFonts w:hint="default" w:ascii="Times New Roman" w:hAnsi="Times New Roman"/>
                        <w:sz w:val="28"/>
                        <w:szCs w:val="44"/>
                      </w:rPr>
                      <w:fldChar w:fldCharType="begin"/>
                    </w:r>
                    <w:r>
                      <w:rPr>
                        <w:rFonts w:hint="default" w:ascii="Times New Roman" w:hAnsi="Times New Roman"/>
                        <w:sz w:val="28"/>
                        <w:szCs w:val="44"/>
                      </w:rPr>
                      <w:instrText xml:space="preserve"> PAGE  \* MERGEFORMAT </w:instrText>
                    </w:r>
                    <w:r>
                      <w:rPr>
                        <w:rFonts w:hint="default" w:ascii="Times New Roman" w:hAnsi="Times New Roman"/>
                        <w:sz w:val="28"/>
                        <w:szCs w:val="44"/>
                      </w:rPr>
                      <w:fldChar w:fldCharType="separate"/>
                    </w:r>
                    <w:r>
                      <w:rPr>
                        <w:rFonts w:hint="default" w:ascii="Times New Roman" w:hAnsi="Times New Roman"/>
                        <w:sz w:val="28"/>
                        <w:szCs w:val="44"/>
                      </w:rPr>
                      <w:t>1</w:t>
                    </w:r>
                    <w:r>
                      <w:rPr>
                        <w:rFonts w:hint="default" w:ascii="Times New Roman" w:hAnsi="Times New Roman"/>
                        <w:sz w:val="28"/>
                        <w:szCs w:val="44"/>
                      </w:rPr>
                      <w:fldChar w:fldCharType="end"/>
                    </w:r>
                    <w:r>
                      <w:rPr>
                        <w:rFonts w:hint="default" w:ascii="Times New Roman" w:hAnsi="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72C09"/>
    <w:multiLevelType w:val="singleLevel"/>
    <w:tmpl w:val="2BF72C09"/>
    <w:lvl w:ilvl="0" w:tentative="0">
      <w:start w:val="1"/>
      <w:numFmt w:val="chineseCounting"/>
      <w:suff w:val="nothing"/>
      <w:lvlText w:val="（%1）"/>
      <w:lvlJc w:val="left"/>
      <w:rPr>
        <w:rFonts w:hint="eastAsia"/>
      </w:rPr>
    </w:lvl>
  </w:abstractNum>
  <w:abstractNum w:abstractNumId="1">
    <w:nsid w:val="315944AB"/>
    <w:multiLevelType w:val="singleLevel"/>
    <w:tmpl w:val="315944AB"/>
    <w:lvl w:ilvl="0" w:tentative="0">
      <w:start w:val="7"/>
      <w:numFmt w:val="chineseCounting"/>
      <w:suff w:val="nothing"/>
      <w:lvlText w:val="（%1）"/>
      <w:lvlJc w:val="left"/>
      <w:rPr>
        <w:rFonts w:hint="eastAsia"/>
      </w:rPr>
    </w:lvl>
  </w:abstractNum>
  <w:abstractNum w:abstractNumId="2">
    <w:nsid w:val="3D5794B2"/>
    <w:multiLevelType w:val="singleLevel"/>
    <w:tmpl w:val="3D5794B2"/>
    <w:lvl w:ilvl="0" w:tentative="0">
      <w:start w:val="1"/>
      <w:numFmt w:val="chineseCounting"/>
      <w:lvlText w:val="第%1条"/>
      <w:lvlJc w:val="left"/>
      <w:rPr>
        <w:rFonts w:hint="eastAsia" w:ascii="方正仿宋_GBK" w:hAnsi="方正仿宋_GBK" w:eastAsia="方正仿宋_GBK" w:cs="方正仿宋_GBK"/>
        <w:b/>
        <w:bCs/>
        <w:color w:val="auto"/>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24662"/>
    <w:rsid w:val="00043184"/>
    <w:rsid w:val="001A2968"/>
    <w:rsid w:val="001E48D8"/>
    <w:rsid w:val="00383A8C"/>
    <w:rsid w:val="003C2974"/>
    <w:rsid w:val="006C28C0"/>
    <w:rsid w:val="006C59D1"/>
    <w:rsid w:val="008E63F5"/>
    <w:rsid w:val="00A244BA"/>
    <w:rsid w:val="00A716B0"/>
    <w:rsid w:val="00E70899"/>
    <w:rsid w:val="011949CD"/>
    <w:rsid w:val="0189128F"/>
    <w:rsid w:val="019F6650"/>
    <w:rsid w:val="02293804"/>
    <w:rsid w:val="034B4DFE"/>
    <w:rsid w:val="03517E7E"/>
    <w:rsid w:val="03F6739B"/>
    <w:rsid w:val="04733586"/>
    <w:rsid w:val="048F3FBB"/>
    <w:rsid w:val="054C69BD"/>
    <w:rsid w:val="058A5C66"/>
    <w:rsid w:val="069A035E"/>
    <w:rsid w:val="07987EA2"/>
    <w:rsid w:val="07BA51B8"/>
    <w:rsid w:val="07FB0E0D"/>
    <w:rsid w:val="08657A6E"/>
    <w:rsid w:val="09FC30DE"/>
    <w:rsid w:val="0A0E79F8"/>
    <w:rsid w:val="0AA479FE"/>
    <w:rsid w:val="0ADE5A76"/>
    <w:rsid w:val="0ADF4592"/>
    <w:rsid w:val="0B584BDD"/>
    <w:rsid w:val="0B843B14"/>
    <w:rsid w:val="0B8E0C2A"/>
    <w:rsid w:val="0BC173FA"/>
    <w:rsid w:val="0C22639E"/>
    <w:rsid w:val="0C2C2AE7"/>
    <w:rsid w:val="0CB44F90"/>
    <w:rsid w:val="0EBF277B"/>
    <w:rsid w:val="0F1113DA"/>
    <w:rsid w:val="0F4B066E"/>
    <w:rsid w:val="0F8676D2"/>
    <w:rsid w:val="0F895414"/>
    <w:rsid w:val="0FA36683"/>
    <w:rsid w:val="108F20AC"/>
    <w:rsid w:val="10A27750"/>
    <w:rsid w:val="110B5B51"/>
    <w:rsid w:val="11156221"/>
    <w:rsid w:val="11365128"/>
    <w:rsid w:val="11B74009"/>
    <w:rsid w:val="11FA43A7"/>
    <w:rsid w:val="12333415"/>
    <w:rsid w:val="12745D9D"/>
    <w:rsid w:val="12B93245"/>
    <w:rsid w:val="131F1946"/>
    <w:rsid w:val="134277B0"/>
    <w:rsid w:val="13CD21DA"/>
    <w:rsid w:val="14716BA4"/>
    <w:rsid w:val="147940C4"/>
    <w:rsid w:val="150F5FC7"/>
    <w:rsid w:val="151C133C"/>
    <w:rsid w:val="155B515D"/>
    <w:rsid w:val="15C550EF"/>
    <w:rsid w:val="162A4194"/>
    <w:rsid w:val="164B6F7F"/>
    <w:rsid w:val="172E3A9E"/>
    <w:rsid w:val="17352D9E"/>
    <w:rsid w:val="179E27CA"/>
    <w:rsid w:val="17A61BD3"/>
    <w:rsid w:val="17CB4F24"/>
    <w:rsid w:val="17EB5EEC"/>
    <w:rsid w:val="19557CE2"/>
    <w:rsid w:val="19B32E94"/>
    <w:rsid w:val="1A2E77FC"/>
    <w:rsid w:val="1A5D54D3"/>
    <w:rsid w:val="1A7575E0"/>
    <w:rsid w:val="1A77205B"/>
    <w:rsid w:val="1A916DF3"/>
    <w:rsid w:val="1B285AE1"/>
    <w:rsid w:val="1B3D286C"/>
    <w:rsid w:val="1C141956"/>
    <w:rsid w:val="1C1B3898"/>
    <w:rsid w:val="1C8B457A"/>
    <w:rsid w:val="1CAB707A"/>
    <w:rsid w:val="1CD23654"/>
    <w:rsid w:val="1CE857D0"/>
    <w:rsid w:val="1D035BF9"/>
    <w:rsid w:val="1D176B3F"/>
    <w:rsid w:val="1D4759A5"/>
    <w:rsid w:val="1D721E3F"/>
    <w:rsid w:val="1DE41B80"/>
    <w:rsid w:val="1DF3687A"/>
    <w:rsid w:val="1E273513"/>
    <w:rsid w:val="1E5170FD"/>
    <w:rsid w:val="1EA638ED"/>
    <w:rsid w:val="1F2E38E2"/>
    <w:rsid w:val="209A4F7E"/>
    <w:rsid w:val="21C56960"/>
    <w:rsid w:val="21F13E17"/>
    <w:rsid w:val="21FB3F4F"/>
    <w:rsid w:val="221622D1"/>
    <w:rsid w:val="221E099F"/>
    <w:rsid w:val="227D2BB6"/>
    <w:rsid w:val="22DB5B2F"/>
    <w:rsid w:val="22E960F4"/>
    <w:rsid w:val="23386EEB"/>
    <w:rsid w:val="24034E04"/>
    <w:rsid w:val="244A5C0F"/>
    <w:rsid w:val="24A563F4"/>
    <w:rsid w:val="251A4D23"/>
    <w:rsid w:val="25393D06"/>
    <w:rsid w:val="254E79BF"/>
    <w:rsid w:val="25643C8B"/>
    <w:rsid w:val="256E7B04"/>
    <w:rsid w:val="25C8226B"/>
    <w:rsid w:val="25E96CE7"/>
    <w:rsid w:val="261C4494"/>
    <w:rsid w:val="27157B85"/>
    <w:rsid w:val="27512E6E"/>
    <w:rsid w:val="277B0F6E"/>
    <w:rsid w:val="27A377C7"/>
    <w:rsid w:val="27AC25CA"/>
    <w:rsid w:val="27AE736E"/>
    <w:rsid w:val="27EA0B18"/>
    <w:rsid w:val="281D0B57"/>
    <w:rsid w:val="28795BCE"/>
    <w:rsid w:val="288B77F0"/>
    <w:rsid w:val="28F13756"/>
    <w:rsid w:val="293E3D9A"/>
    <w:rsid w:val="2A970A98"/>
    <w:rsid w:val="2AF36EE6"/>
    <w:rsid w:val="2B157704"/>
    <w:rsid w:val="2B16201F"/>
    <w:rsid w:val="2B794137"/>
    <w:rsid w:val="2C1005F7"/>
    <w:rsid w:val="2C3C5631"/>
    <w:rsid w:val="2CE81574"/>
    <w:rsid w:val="2D5257FC"/>
    <w:rsid w:val="2D7F7026"/>
    <w:rsid w:val="2E230E9E"/>
    <w:rsid w:val="2E2E1209"/>
    <w:rsid w:val="2EDB63F4"/>
    <w:rsid w:val="2F597E07"/>
    <w:rsid w:val="2F614AB9"/>
    <w:rsid w:val="2FB0648B"/>
    <w:rsid w:val="2FF81ACE"/>
    <w:rsid w:val="300F506A"/>
    <w:rsid w:val="301601A6"/>
    <w:rsid w:val="302723B3"/>
    <w:rsid w:val="31491737"/>
    <w:rsid w:val="31C53C32"/>
    <w:rsid w:val="31C92CB5"/>
    <w:rsid w:val="320E2031"/>
    <w:rsid w:val="32362A88"/>
    <w:rsid w:val="3262642F"/>
    <w:rsid w:val="32630939"/>
    <w:rsid w:val="33BB353F"/>
    <w:rsid w:val="34294CFB"/>
    <w:rsid w:val="342A0EE3"/>
    <w:rsid w:val="34B252FF"/>
    <w:rsid w:val="34D6737E"/>
    <w:rsid w:val="35545AAF"/>
    <w:rsid w:val="35777D60"/>
    <w:rsid w:val="35E047F6"/>
    <w:rsid w:val="36321AB2"/>
    <w:rsid w:val="364663E6"/>
    <w:rsid w:val="36AA2AD7"/>
    <w:rsid w:val="37323A9D"/>
    <w:rsid w:val="38373B40"/>
    <w:rsid w:val="38910D12"/>
    <w:rsid w:val="38E04160"/>
    <w:rsid w:val="392721B7"/>
    <w:rsid w:val="394B4C60"/>
    <w:rsid w:val="395B30EA"/>
    <w:rsid w:val="39842625"/>
    <w:rsid w:val="39FE0F50"/>
    <w:rsid w:val="3A194E0F"/>
    <w:rsid w:val="3A3758E9"/>
    <w:rsid w:val="3C6964D8"/>
    <w:rsid w:val="3C7D28BC"/>
    <w:rsid w:val="3CFD6D2B"/>
    <w:rsid w:val="3E0D4542"/>
    <w:rsid w:val="3E1A5306"/>
    <w:rsid w:val="3E430342"/>
    <w:rsid w:val="3E602576"/>
    <w:rsid w:val="3ECE499F"/>
    <w:rsid w:val="3F6D20C3"/>
    <w:rsid w:val="3F8E3EFC"/>
    <w:rsid w:val="3FB75A5D"/>
    <w:rsid w:val="412716A3"/>
    <w:rsid w:val="41CA7043"/>
    <w:rsid w:val="428B1E56"/>
    <w:rsid w:val="4348021F"/>
    <w:rsid w:val="43B440F5"/>
    <w:rsid w:val="440C6F05"/>
    <w:rsid w:val="441427F7"/>
    <w:rsid w:val="44407158"/>
    <w:rsid w:val="449C4CC6"/>
    <w:rsid w:val="44B22428"/>
    <w:rsid w:val="451505D5"/>
    <w:rsid w:val="451B4667"/>
    <w:rsid w:val="45713CFD"/>
    <w:rsid w:val="45985482"/>
    <w:rsid w:val="45AC2E01"/>
    <w:rsid w:val="45B74742"/>
    <w:rsid w:val="45B95404"/>
    <w:rsid w:val="462F1B6A"/>
    <w:rsid w:val="468C4805"/>
    <w:rsid w:val="46D36F73"/>
    <w:rsid w:val="47881192"/>
    <w:rsid w:val="47CF53B3"/>
    <w:rsid w:val="47D90E70"/>
    <w:rsid w:val="47EE4042"/>
    <w:rsid w:val="48497C1E"/>
    <w:rsid w:val="48D80B72"/>
    <w:rsid w:val="48F63AD0"/>
    <w:rsid w:val="49BC644F"/>
    <w:rsid w:val="4B047121"/>
    <w:rsid w:val="4B320132"/>
    <w:rsid w:val="4B44568C"/>
    <w:rsid w:val="4B7778F3"/>
    <w:rsid w:val="4BA054E1"/>
    <w:rsid w:val="4C4A0C01"/>
    <w:rsid w:val="4C5B5467"/>
    <w:rsid w:val="4C924DC9"/>
    <w:rsid w:val="4CEB08B0"/>
    <w:rsid w:val="4E686610"/>
    <w:rsid w:val="4F257648"/>
    <w:rsid w:val="4F412F7B"/>
    <w:rsid w:val="4FF03744"/>
    <w:rsid w:val="50072F54"/>
    <w:rsid w:val="50A01963"/>
    <w:rsid w:val="50A33417"/>
    <w:rsid w:val="517E77CE"/>
    <w:rsid w:val="5187446D"/>
    <w:rsid w:val="51F831C9"/>
    <w:rsid w:val="52376968"/>
    <w:rsid w:val="528F1C08"/>
    <w:rsid w:val="52A941F1"/>
    <w:rsid w:val="52D50A4A"/>
    <w:rsid w:val="532C36B9"/>
    <w:rsid w:val="5459237D"/>
    <w:rsid w:val="549E37C1"/>
    <w:rsid w:val="54D6553E"/>
    <w:rsid w:val="54DA4295"/>
    <w:rsid w:val="55256DEB"/>
    <w:rsid w:val="55451693"/>
    <w:rsid w:val="55951067"/>
    <w:rsid w:val="55957FFF"/>
    <w:rsid w:val="56B55774"/>
    <w:rsid w:val="56B73CAB"/>
    <w:rsid w:val="570A3D11"/>
    <w:rsid w:val="57167CC2"/>
    <w:rsid w:val="5810503F"/>
    <w:rsid w:val="58D005ED"/>
    <w:rsid w:val="58D8011F"/>
    <w:rsid w:val="58FB689D"/>
    <w:rsid w:val="591513AA"/>
    <w:rsid w:val="593A6404"/>
    <w:rsid w:val="593F519A"/>
    <w:rsid w:val="59771406"/>
    <w:rsid w:val="59C16120"/>
    <w:rsid w:val="59F3799A"/>
    <w:rsid w:val="5A43144A"/>
    <w:rsid w:val="5ADA7E9F"/>
    <w:rsid w:val="5ADD58BC"/>
    <w:rsid w:val="5B667984"/>
    <w:rsid w:val="5B773940"/>
    <w:rsid w:val="5BC815A7"/>
    <w:rsid w:val="5C39430B"/>
    <w:rsid w:val="5C826210"/>
    <w:rsid w:val="5C8A705C"/>
    <w:rsid w:val="5D8E103B"/>
    <w:rsid w:val="5D90397F"/>
    <w:rsid w:val="5DB030CE"/>
    <w:rsid w:val="5E731452"/>
    <w:rsid w:val="5E765FFF"/>
    <w:rsid w:val="5EF13A09"/>
    <w:rsid w:val="5F0735B4"/>
    <w:rsid w:val="5F88155A"/>
    <w:rsid w:val="6005624E"/>
    <w:rsid w:val="611F236E"/>
    <w:rsid w:val="61425FBA"/>
    <w:rsid w:val="62AF76E4"/>
    <w:rsid w:val="634D35CA"/>
    <w:rsid w:val="6385783F"/>
    <w:rsid w:val="638E3BAE"/>
    <w:rsid w:val="64033411"/>
    <w:rsid w:val="64442C0B"/>
    <w:rsid w:val="64B150FD"/>
    <w:rsid w:val="64E73D24"/>
    <w:rsid w:val="65803C8F"/>
    <w:rsid w:val="65BE258E"/>
    <w:rsid w:val="65C43C25"/>
    <w:rsid w:val="660B53B0"/>
    <w:rsid w:val="664C18BC"/>
    <w:rsid w:val="66C065A7"/>
    <w:rsid w:val="66EC39D7"/>
    <w:rsid w:val="673B29FD"/>
    <w:rsid w:val="676C1519"/>
    <w:rsid w:val="67D87514"/>
    <w:rsid w:val="68760A78"/>
    <w:rsid w:val="688238AD"/>
    <w:rsid w:val="6893310B"/>
    <w:rsid w:val="69015DDF"/>
    <w:rsid w:val="69073028"/>
    <w:rsid w:val="6A7D2AFA"/>
    <w:rsid w:val="6B3413C4"/>
    <w:rsid w:val="6B536044"/>
    <w:rsid w:val="6BA75C0C"/>
    <w:rsid w:val="6C705F6D"/>
    <w:rsid w:val="6C787517"/>
    <w:rsid w:val="6C9F6852"/>
    <w:rsid w:val="6CC4542E"/>
    <w:rsid w:val="6D4B2536"/>
    <w:rsid w:val="6D5C62FC"/>
    <w:rsid w:val="6D750805"/>
    <w:rsid w:val="6D8F2D6B"/>
    <w:rsid w:val="6DD2781C"/>
    <w:rsid w:val="6DEF55B7"/>
    <w:rsid w:val="6E4E3D7C"/>
    <w:rsid w:val="6E804477"/>
    <w:rsid w:val="6EEB1E71"/>
    <w:rsid w:val="6F212ECB"/>
    <w:rsid w:val="6F4A28CE"/>
    <w:rsid w:val="6F79782E"/>
    <w:rsid w:val="6FC7059A"/>
    <w:rsid w:val="70C06820"/>
    <w:rsid w:val="7135359D"/>
    <w:rsid w:val="716A482B"/>
    <w:rsid w:val="72317C78"/>
    <w:rsid w:val="72DD2601"/>
    <w:rsid w:val="72E6557D"/>
    <w:rsid w:val="73426189"/>
    <w:rsid w:val="73EF1E6D"/>
    <w:rsid w:val="740B2A1F"/>
    <w:rsid w:val="74371815"/>
    <w:rsid w:val="74983B27"/>
    <w:rsid w:val="74B73CA2"/>
    <w:rsid w:val="74CB229D"/>
    <w:rsid w:val="753A42E5"/>
    <w:rsid w:val="75CD2682"/>
    <w:rsid w:val="75EC29D0"/>
    <w:rsid w:val="76572F60"/>
    <w:rsid w:val="765F138C"/>
    <w:rsid w:val="769F612F"/>
    <w:rsid w:val="76C41890"/>
    <w:rsid w:val="76D637B8"/>
    <w:rsid w:val="771D33A0"/>
    <w:rsid w:val="77424517"/>
    <w:rsid w:val="77444479"/>
    <w:rsid w:val="77624662"/>
    <w:rsid w:val="77BC3F41"/>
    <w:rsid w:val="78CB5981"/>
    <w:rsid w:val="78F30652"/>
    <w:rsid w:val="7B3849BA"/>
    <w:rsid w:val="7C305719"/>
    <w:rsid w:val="7C5A4544"/>
    <w:rsid w:val="7C8B6DF3"/>
    <w:rsid w:val="7CEA3B1A"/>
    <w:rsid w:val="7CF4742A"/>
    <w:rsid w:val="7D807FDA"/>
    <w:rsid w:val="7E6B2A38"/>
    <w:rsid w:val="7E8FF7E9"/>
    <w:rsid w:val="7E987250"/>
    <w:rsid w:val="7F5F26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rPr>
      <w:sz w:val="28"/>
    </w:rPr>
  </w:style>
  <w:style w:type="paragraph" w:styleId="3">
    <w:name w:val="Normal Indent"/>
    <w:basedOn w:val="1"/>
    <w:qFormat/>
    <w:uiPriority w:val="0"/>
    <w:pPr>
      <w:ind w:firstLine="420" w:firstLineChars="200"/>
    </w:pPr>
  </w:style>
  <w:style w:type="paragraph" w:styleId="4">
    <w:name w:val="annotation text"/>
    <w:basedOn w:val="1"/>
    <w:qFormat/>
    <w:uiPriority w:val="0"/>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3414</Words>
  <Characters>3425</Characters>
  <Lines>23</Lines>
  <Paragraphs>6</Paragraphs>
  <TotalTime>9</TotalTime>
  <ScaleCrop>false</ScaleCrop>
  <LinksUpToDate>false</LinksUpToDate>
  <CharactersWithSpaces>4074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2025-07-01T07:55:00Z</dcterms:created>
  <dc:creator>对方正在输入...</dc:creator>
  <cp:lastModifiedBy>杨鹏</cp:lastModifiedBy>
  <cp:lastPrinted>2025-08-27T09:57:00Z</cp:lastPrinted>
  <dcterms:modified xsi:type="dcterms:W3CDTF">2025-08-29T06:54:37Z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8268796053024B4A837D7ABB038C76C6_13</vt:lpwstr>
  </property>
  <property fmtid="{D5CDD505-2E9C-101B-9397-08002B2CF9AE}" pid="4" name="KSOTemplateDocerSaveRecord">
    <vt:lpwstr>eyJoZGlkIjoiMDBkNzVkNTQ2ZDBmNDgzNmVlYTU5MDkxZmUwYjcyYTIiLCJ1c2VySWQiOiIyODUwOTIyNjcifQ==</vt:lpwstr>
  </property>
</Properties>
</file>